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98" w:rsidRPr="0030418E" w:rsidRDefault="001D4398" w:rsidP="001A02C9">
      <w:pPr>
        <w:ind w:firstLine="851"/>
        <w:jc w:val="right"/>
        <w:rPr>
          <w:rFonts w:ascii="Times New Roman" w:hAnsi="Times New Roman"/>
          <w:b/>
          <w:sz w:val="28"/>
          <w:szCs w:val="28"/>
          <w:lang w:val="en-US"/>
        </w:rPr>
      </w:pPr>
    </w:p>
    <w:p w:rsidR="001D4398" w:rsidRPr="0030418E" w:rsidRDefault="001D4398" w:rsidP="001A02C9">
      <w:pPr>
        <w:ind w:firstLine="851"/>
        <w:jc w:val="right"/>
        <w:rPr>
          <w:rFonts w:ascii="Times New Roman" w:hAnsi="Times New Roman"/>
          <w:b/>
          <w:sz w:val="28"/>
          <w:szCs w:val="28"/>
          <w:lang w:val="en-US"/>
        </w:rPr>
      </w:pPr>
    </w:p>
    <w:p w:rsidR="001D4398" w:rsidRPr="0030418E" w:rsidRDefault="001D4398" w:rsidP="001A02C9">
      <w:pPr>
        <w:ind w:firstLine="851"/>
        <w:jc w:val="right"/>
        <w:rPr>
          <w:rFonts w:ascii="Times New Roman" w:hAnsi="Times New Roman"/>
          <w:b/>
          <w:i/>
          <w:sz w:val="28"/>
          <w:szCs w:val="28"/>
          <w:lang w:val="ro-RO"/>
        </w:rPr>
      </w:pPr>
    </w:p>
    <w:p w:rsidR="001D4398" w:rsidRPr="0030418E" w:rsidRDefault="001D4398" w:rsidP="001A02C9">
      <w:pPr>
        <w:ind w:firstLine="851"/>
        <w:jc w:val="right"/>
        <w:rPr>
          <w:rFonts w:ascii="Times New Roman" w:hAnsi="Times New Roman"/>
          <w:b/>
          <w:i/>
          <w:sz w:val="28"/>
          <w:szCs w:val="28"/>
          <w:lang w:val="ro-RO"/>
        </w:rPr>
      </w:pPr>
    </w:p>
    <w:p w:rsidR="001D4398" w:rsidRPr="0030418E" w:rsidRDefault="001D4398" w:rsidP="001A02C9">
      <w:pPr>
        <w:ind w:firstLine="851"/>
        <w:jc w:val="right"/>
        <w:rPr>
          <w:rFonts w:ascii="Times New Roman" w:hAnsi="Times New Roman"/>
          <w:b/>
          <w:i/>
          <w:sz w:val="28"/>
          <w:szCs w:val="28"/>
          <w:lang w:val="ro-RO"/>
        </w:rPr>
      </w:pPr>
    </w:p>
    <w:p w:rsidR="001D4398" w:rsidRPr="0030418E" w:rsidRDefault="001D4398" w:rsidP="001A02C9">
      <w:pPr>
        <w:ind w:firstLine="851"/>
        <w:jc w:val="right"/>
        <w:rPr>
          <w:rFonts w:ascii="Times New Roman" w:hAnsi="Times New Roman"/>
          <w:b/>
          <w:i/>
          <w:sz w:val="28"/>
          <w:szCs w:val="28"/>
          <w:lang w:val="ro-RO"/>
        </w:rPr>
      </w:pPr>
    </w:p>
    <w:p w:rsidR="001D4398" w:rsidRPr="0030418E" w:rsidRDefault="001D4398" w:rsidP="001A02C9">
      <w:pPr>
        <w:ind w:firstLine="851"/>
        <w:jc w:val="right"/>
        <w:rPr>
          <w:rFonts w:ascii="Times New Roman" w:hAnsi="Times New Roman"/>
          <w:b/>
          <w:i/>
          <w:sz w:val="28"/>
          <w:szCs w:val="28"/>
          <w:lang w:val="ro-RO"/>
        </w:rPr>
      </w:pPr>
      <w:r w:rsidRPr="0030418E">
        <w:rPr>
          <w:rFonts w:ascii="Times New Roman" w:hAnsi="Times New Roman"/>
          <w:b/>
          <w:i/>
          <w:sz w:val="28"/>
          <w:szCs w:val="28"/>
          <w:lang w:val="ro-RO"/>
        </w:rPr>
        <w:t xml:space="preserve">Biroul Permanent al </w:t>
      </w:r>
    </w:p>
    <w:p w:rsidR="001D4398" w:rsidRPr="0030418E" w:rsidRDefault="001D4398" w:rsidP="001A02C9">
      <w:pPr>
        <w:ind w:firstLine="851"/>
        <w:jc w:val="right"/>
        <w:rPr>
          <w:rFonts w:ascii="Times New Roman" w:hAnsi="Times New Roman"/>
          <w:b/>
          <w:i/>
          <w:sz w:val="28"/>
          <w:szCs w:val="28"/>
          <w:lang w:val="ro-RO"/>
        </w:rPr>
      </w:pPr>
      <w:r w:rsidRPr="0030418E">
        <w:rPr>
          <w:rFonts w:ascii="Times New Roman" w:hAnsi="Times New Roman"/>
          <w:b/>
          <w:i/>
          <w:sz w:val="28"/>
          <w:szCs w:val="28"/>
          <w:lang w:val="ro-RO"/>
        </w:rPr>
        <w:t>Parlamentului Republicii Moldova</w:t>
      </w: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r w:rsidRPr="0030418E">
        <w:rPr>
          <w:rFonts w:ascii="Times New Roman" w:hAnsi="Times New Roman"/>
          <w:sz w:val="28"/>
          <w:szCs w:val="28"/>
          <w:lang w:val="ro-RO"/>
        </w:rPr>
        <w:t>În conformitate cu prevederile art.73 din Constituţia Republicii Moldova şi art.47 din Regulamentul Parlamentului se înaintează cu titlu de iniţiativă legislativă proiectul de Lege privind ameliorarea situaţiei financiare ale întreprinderilor prestatoare de servicii publice de gospodărie comunală.</w:t>
      </w: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r w:rsidRPr="0030418E">
        <w:rPr>
          <w:rFonts w:ascii="Times New Roman" w:hAnsi="Times New Roman"/>
          <w:sz w:val="28"/>
          <w:szCs w:val="28"/>
          <w:lang w:val="ro-RO"/>
        </w:rPr>
        <w:t>Anexe:</w:t>
      </w:r>
    </w:p>
    <w:p w:rsidR="001D4398" w:rsidRPr="0030418E" w:rsidRDefault="001D4398" w:rsidP="001A02C9">
      <w:pPr>
        <w:numPr>
          <w:ilvl w:val="0"/>
          <w:numId w:val="2"/>
        </w:numPr>
        <w:tabs>
          <w:tab w:val="num" w:pos="0"/>
        </w:tabs>
        <w:spacing w:after="0" w:line="240" w:lineRule="auto"/>
        <w:ind w:left="0" w:firstLine="851"/>
        <w:jc w:val="both"/>
        <w:rPr>
          <w:rFonts w:ascii="Times New Roman" w:hAnsi="Times New Roman"/>
          <w:i/>
          <w:sz w:val="28"/>
          <w:szCs w:val="28"/>
          <w:lang w:val="ro-RO"/>
        </w:rPr>
      </w:pPr>
      <w:r w:rsidRPr="0030418E">
        <w:rPr>
          <w:rFonts w:ascii="Times New Roman" w:hAnsi="Times New Roman"/>
          <w:i/>
          <w:sz w:val="28"/>
          <w:szCs w:val="28"/>
          <w:lang w:val="ro-RO"/>
        </w:rPr>
        <w:t>Proiectul de Lege</w:t>
      </w:r>
    </w:p>
    <w:p w:rsidR="001D4398" w:rsidRPr="0030418E" w:rsidRDefault="001D4398" w:rsidP="001A02C9">
      <w:pPr>
        <w:numPr>
          <w:ilvl w:val="0"/>
          <w:numId w:val="2"/>
        </w:numPr>
        <w:tabs>
          <w:tab w:val="num" w:pos="0"/>
        </w:tabs>
        <w:spacing w:after="0" w:line="240" w:lineRule="auto"/>
        <w:ind w:left="0" w:firstLine="851"/>
        <w:jc w:val="both"/>
        <w:rPr>
          <w:rFonts w:ascii="Times New Roman" w:hAnsi="Times New Roman"/>
          <w:i/>
          <w:sz w:val="28"/>
          <w:szCs w:val="28"/>
          <w:lang w:val="ro-RO"/>
        </w:rPr>
      </w:pPr>
      <w:r w:rsidRPr="0030418E">
        <w:rPr>
          <w:rFonts w:ascii="Times New Roman" w:hAnsi="Times New Roman"/>
          <w:i/>
          <w:sz w:val="28"/>
          <w:szCs w:val="28"/>
          <w:lang w:val="ro-RO"/>
        </w:rPr>
        <w:t>Expunere de motive</w:t>
      </w:r>
    </w:p>
    <w:p w:rsidR="001D4398" w:rsidRPr="0030418E" w:rsidRDefault="001D4398" w:rsidP="001A02C9">
      <w:pPr>
        <w:tabs>
          <w:tab w:val="num" w:pos="0"/>
        </w:tabs>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both"/>
        <w:rPr>
          <w:rFonts w:ascii="Times New Roman" w:hAnsi="Times New Roman"/>
          <w:sz w:val="28"/>
          <w:szCs w:val="28"/>
          <w:lang w:val="ro-RO"/>
        </w:rPr>
      </w:pPr>
    </w:p>
    <w:p w:rsidR="001D4398" w:rsidRPr="0030418E" w:rsidRDefault="001D4398" w:rsidP="001A02C9">
      <w:pPr>
        <w:ind w:firstLine="851"/>
        <w:jc w:val="right"/>
        <w:rPr>
          <w:rFonts w:ascii="Times New Roman" w:hAnsi="Times New Roman"/>
          <w:b/>
          <w:sz w:val="28"/>
          <w:szCs w:val="28"/>
          <w:lang w:val="ro-RO"/>
        </w:rPr>
      </w:pPr>
      <w:r w:rsidRPr="0030418E">
        <w:rPr>
          <w:rFonts w:ascii="Times New Roman" w:hAnsi="Times New Roman"/>
          <w:b/>
          <w:sz w:val="28"/>
          <w:szCs w:val="28"/>
          <w:lang w:val="ro-RO"/>
        </w:rPr>
        <w:t>Deputat în Parlamentul Republicii Moldova:</w:t>
      </w:r>
    </w:p>
    <w:p w:rsidR="001D4398" w:rsidRPr="0030418E" w:rsidRDefault="001D4398" w:rsidP="001A02C9">
      <w:pPr>
        <w:ind w:firstLine="851"/>
        <w:jc w:val="right"/>
        <w:rPr>
          <w:rFonts w:ascii="Times New Roman" w:hAnsi="Times New Roman"/>
          <w:b/>
          <w:sz w:val="28"/>
          <w:szCs w:val="28"/>
          <w:lang w:val="ro-RO"/>
        </w:rPr>
      </w:pPr>
    </w:p>
    <w:p w:rsidR="001D4398" w:rsidRPr="0030418E" w:rsidRDefault="001D4398" w:rsidP="001A02C9">
      <w:pPr>
        <w:ind w:firstLine="851"/>
        <w:jc w:val="right"/>
        <w:rPr>
          <w:rFonts w:ascii="Times New Roman" w:hAnsi="Times New Roman"/>
          <w:b/>
          <w:sz w:val="28"/>
          <w:szCs w:val="28"/>
          <w:lang w:val="ro-RO"/>
        </w:rPr>
      </w:pPr>
    </w:p>
    <w:p w:rsidR="001D4398" w:rsidRPr="0030418E" w:rsidRDefault="001D4398" w:rsidP="001A02C9">
      <w:pPr>
        <w:ind w:firstLine="851"/>
        <w:jc w:val="right"/>
        <w:rPr>
          <w:rFonts w:ascii="Times New Roman" w:hAnsi="Times New Roman"/>
          <w:b/>
          <w:sz w:val="28"/>
          <w:szCs w:val="28"/>
          <w:lang w:val="ro-RO"/>
        </w:rPr>
      </w:pPr>
      <w:r w:rsidRPr="0030418E">
        <w:rPr>
          <w:rFonts w:ascii="Times New Roman" w:hAnsi="Times New Roman"/>
          <w:b/>
          <w:sz w:val="28"/>
          <w:szCs w:val="28"/>
          <w:lang w:val="ro-RO"/>
        </w:rPr>
        <w:t>Alexandru Cimbriciuc</w:t>
      </w:r>
    </w:p>
    <w:p w:rsidR="001D4398" w:rsidRPr="0030418E" w:rsidRDefault="001D4398" w:rsidP="001A02C9">
      <w:pPr>
        <w:pStyle w:val="Heading1"/>
        <w:ind w:firstLine="851"/>
        <w:rPr>
          <w:bCs/>
          <w:iCs/>
          <w:szCs w:val="28"/>
        </w:rPr>
      </w:pPr>
    </w:p>
    <w:p w:rsidR="001D4398" w:rsidRPr="0030418E" w:rsidRDefault="001D4398" w:rsidP="001A02C9">
      <w:pPr>
        <w:ind w:firstLine="851"/>
        <w:jc w:val="right"/>
        <w:rPr>
          <w:rFonts w:ascii="Times New Roman" w:hAnsi="Times New Roman"/>
          <w:b/>
          <w:sz w:val="28"/>
          <w:szCs w:val="28"/>
          <w:lang w:val="en-US"/>
        </w:rPr>
      </w:pPr>
    </w:p>
    <w:p w:rsidR="001D4398" w:rsidRPr="0030418E" w:rsidRDefault="001D4398" w:rsidP="001A02C9">
      <w:pPr>
        <w:ind w:firstLine="851"/>
        <w:jc w:val="right"/>
        <w:rPr>
          <w:rFonts w:ascii="Times New Roman" w:hAnsi="Times New Roman"/>
          <w:b/>
          <w:sz w:val="28"/>
          <w:szCs w:val="28"/>
          <w:lang w:val="en-US"/>
        </w:rPr>
      </w:pPr>
    </w:p>
    <w:p w:rsidR="001D4398" w:rsidRPr="0030418E" w:rsidRDefault="001D4398" w:rsidP="001A02C9">
      <w:pPr>
        <w:ind w:firstLine="851"/>
        <w:jc w:val="right"/>
        <w:rPr>
          <w:rFonts w:ascii="Times New Roman" w:hAnsi="Times New Roman"/>
          <w:b/>
          <w:sz w:val="28"/>
          <w:szCs w:val="28"/>
          <w:lang w:val="en-US"/>
        </w:rPr>
      </w:pPr>
    </w:p>
    <w:p w:rsidR="001D4398" w:rsidRDefault="001D4398" w:rsidP="001A02C9">
      <w:pPr>
        <w:ind w:firstLine="851"/>
        <w:jc w:val="right"/>
        <w:rPr>
          <w:rFonts w:ascii="Times New Roman" w:hAnsi="Times New Roman"/>
          <w:b/>
          <w:i/>
          <w:sz w:val="28"/>
          <w:szCs w:val="28"/>
          <w:lang w:val="ro-RO"/>
        </w:rPr>
      </w:pPr>
    </w:p>
    <w:p w:rsidR="001D4398" w:rsidRPr="0030418E" w:rsidRDefault="001D4398" w:rsidP="001A02C9">
      <w:pPr>
        <w:ind w:firstLine="851"/>
        <w:jc w:val="right"/>
        <w:rPr>
          <w:rFonts w:ascii="Times New Roman" w:hAnsi="Times New Roman"/>
          <w:b/>
          <w:i/>
          <w:sz w:val="28"/>
          <w:szCs w:val="28"/>
          <w:lang w:val="ro-RO"/>
        </w:rPr>
      </w:pPr>
      <w:r w:rsidRPr="0030418E">
        <w:rPr>
          <w:rFonts w:ascii="Times New Roman" w:hAnsi="Times New Roman"/>
          <w:b/>
          <w:i/>
          <w:sz w:val="28"/>
          <w:szCs w:val="28"/>
          <w:lang w:val="ro-RO"/>
        </w:rPr>
        <w:t>Proiect</w:t>
      </w:r>
    </w:p>
    <w:p w:rsidR="001D4398" w:rsidRPr="0030418E" w:rsidRDefault="001D4398" w:rsidP="001A02C9">
      <w:pPr>
        <w:ind w:firstLine="851"/>
        <w:jc w:val="center"/>
        <w:rPr>
          <w:rFonts w:ascii="Times New Roman" w:hAnsi="Times New Roman"/>
          <w:b/>
          <w:sz w:val="28"/>
          <w:szCs w:val="28"/>
          <w:lang w:val="ro-RO"/>
        </w:rPr>
      </w:pPr>
    </w:p>
    <w:p w:rsidR="001D4398" w:rsidRPr="0030418E" w:rsidRDefault="001D4398" w:rsidP="001A02C9">
      <w:pPr>
        <w:ind w:firstLine="851"/>
        <w:jc w:val="center"/>
        <w:rPr>
          <w:rFonts w:ascii="Times New Roman" w:hAnsi="Times New Roman"/>
          <w:b/>
          <w:sz w:val="28"/>
          <w:szCs w:val="28"/>
          <w:lang w:val="ro-RO"/>
        </w:rPr>
      </w:pPr>
      <w:r w:rsidRPr="0030418E">
        <w:rPr>
          <w:rFonts w:ascii="Times New Roman" w:hAnsi="Times New Roman"/>
          <w:b/>
          <w:sz w:val="28"/>
          <w:szCs w:val="28"/>
          <w:lang w:val="ro-RO"/>
        </w:rPr>
        <w:t>LEGE</w:t>
      </w:r>
      <w:r w:rsidRPr="0030418E">
        <w:rPr>
          <w:rFonts w:ascii="Times New Roman" w:hAnsi="Times New Roman"/>
          <w:sz w:val="28"/>
          <w:szCs w:val="28"/>
          <w:lang w:val="ro-RO"/>
        </w:rPr>
        <w:t xml:space="preserve"> </w:t>
      </w:r>
    </w:p>
    <w:p w:rsidR="001D4398" w:rsidRPr="0030418E" w:rsidRDefault="001D4398" w:rsidP="001A02C9">
      <w:pPr>
        <w:ind w:firstLine="851"/>
        <w:jc w:val="center"/>
        <w:rPr>
          <w:rFonts w:ascii="Times New Roman" w:hAnsi="Times New Roman"/>
          <w:b/>
          <w:sz w:val="28"/>
          <w:szCs w:val="28"/>
          <w:lang w:val="ro-RO"/>
        </w:rPr>
      </w:pPr>
      <w:r w:rsidRPr="0030418E">
        <w:rPr>
          <w:rFonts w:ascii="Times New Roman" w:hAnsi="Times New Roman"/>
          <w:b/>
          <w:sz w:val="28"/>
          <w:szCs w:val="28"/>
          <w:lang w:val="ro-RO"/>
        </w:rPr>
        <w:t>privind ameliorarea situaţiei financiare ale întreprinderilor</w:t>
      </w:r>
    </w:p>
    <w:p w:rsidR="001D4398" w:rsidRPr="0030418E" w:rsidRDefault="001D4398" w:rsidP="001A02C9">
      <w:pPr>
        <w:ind w:firstLine="851"/>
        <w:jc w:val="center"/>
        <w:rPr>
          <w:rFonts w:ascii="Times New Roman" w:hAnsi="Times New Roman"/>
          <w:b/>
          <w:sz w:val="28"/>
          <w:szCs w:val="28"/>
          <w:lang w:val="ro-RO"/>
        </w:rPr>
      </w:pPr>
      <w:r w:rsidRPr="0030418E">
        <w:rPr>
          <w:rFonts w:ascii="Times New Roman" w:hAnsi="Times New Roman"/>
          <w:b/>
          <w:sz w:val="28"/>
          <w:szCs w:val="28"/>
          <w:lang w:val="ro-RO"/>
        </w:rPr>
        <w:t>prestatoare de servicii publice de gospodărie comunală</w:t>
      </w:r>
    </w:p>
    <w:p w:rsidR="001D4398" w:rsidRPr="0030418E" w:rsidRDefault="001D4398" w:rsidP="001A02C9">
      <w:pPr>
        <w:ind w:firstLine="851"/>
        <w:jc w:val="center"/>
        <w:rPr>
          <w:rFonts w:ascii="Times New Roman" w:hAnsi="Times New Roman"/>
          <w:b/>
          <w:sz w:val="28"/>
          <w:szCs w:val="28"/>
          <w:u w:val="single"/>
          <w:lang w:val="ro-RO"/>
        </w:rPr>
      </w:pPr>
    </w:p>
    <w:p w:rsidR="001D4398" w:rsidRPr="0030418E" w:rsidRDefault="001D4398" w:rsidP="001A02C9">
      <w:pPr>
        <w:ind w:firstLine="851"/>
        <w:jc w:val="both"/>
        <w:rPr>
          <w:rFonts w:ascii="Times New Roman" w:hAnsi="Times New Roman"/>
          <w:sz w:val="28"/>
          <w:szCs w:val="28"/>
          <w:lang w:val="ro-RO"/>
        </w:rPr>
      </w:pPr>
      <w:r w:rsidRPr="0030418E">
        <w:rPr>
          <w:rFonts w:ascii="Times New Roman" w:hAnsi="Times New Roman"/>
          <w:sz w:val="28"/>
          <w:szCs w:val="28"/>
          <w:lang w:val="ro-RO"/>
        </w:rPr>
        <w:t>Întru asigurarea bunei funcţionări a întreprinderilor de furnizare a apei potabile şi canalizare şi în scopul ameliorării situaţiei economico-financiare a acestora prin compensarea datoriilor reciproce ale agenţilor economici implicaţi în asigurarea bunei funcţionări a apeductului Soroca-Bălţi şi întru executarea Legii nr. 336-XIV din 01.04.1999 „Privind restructurarea datoriilor întreprinderilor din sectorul energetic, Parlamentul adoptă prezenta lege organică.</w:t>
      </w:r>
    </w:p>
    <w:p w:rsidR="001D4398" w:rsidRPr="0030418E" w:rsidRDefault="001D4398" w:rsidP="001A02C9">
      <w:pPr>
        <w:pStyle w:val="NormalWeb"/>
        <w:ind w:firstLine="851"/>
        <w:rPr>
          <w:bCs/>
          <w:sz w:val="28"/>
          <w:szCs w:val="28"/>
          <w:lang w:val="ro-RO"/>
        </w:rPr>
      </w:pPr>
      <w:r w:rsidRPr="0030418E">
        <w:rPr>
          <w:b/>
          <w:bCs/>
          <w:sz w:val="28"/>
          <w:szCs w:val="28"/>
          <w:lang w:val="ro-RO"/>
        </w:rPr>
        <w:t>Articolul I.</w:t>
      </w:r>
      <w:r w:rsidRPr="0030418E">
        <w:rPr>
          <w:bCs/>
          <w:sz w:val="28"/>
          <w:szCs w:val="28"/>
          <w:lang w:val="ro-RO"/>
        </w:rPr>
        <w:t xml:space="preserve"> Se permite alocarea mijloacelor financiare în limita finanţării pentru anul 2011 din Bugetul de Stat către</w:t>
      </w:r>
      <w:r w:rsidRPr="0030418E">
        <w:rPr>
          <w:b/>
          <w:bCs/>
          <w:sz w:val="28"/>
          <w:szCs w:val="28"/>
          <w:lang w:val="ro-RO"/>
        </w:rPr>
        <w:t xml:space="preserve"> </w:t>
      </w:r>
      <w:r w:rsidRPr="0030418E">
        <w:rPr>
          <w:sz w:val="28"/>
          <w:szCs w:val="28"/>
          <w:lang w:val="ro-RO"/>
        </w:rPr>
        <w:t>Întreprinderea Municipală Regia „Apă-Canal Bălţi”, şi Întreprinderea Interraională de Stat „Acva-Nord”</w:t>
      </w:r>
      <w:r w:rsidRPr="0030418E">
        <w:rPr>
          <w:bCs/>
          <w:sz w:val="28"/>
          <w:szCs w:val="28"/>
          <w:lang w:val="ro-RO"/>
        </w:rPr>
        <w:t>, din contul datoriilor ÎS ”Moldtranselectro” pentru creditele acordate anterior.</w:t>
      </w:r>
    </w:p>
    <w:p w:rsidR="001D4398" w:rsidRDefault="001D4398" w:rsidP="001A02C9">
      <w:pPr>
        <w:pStyle w:val="NormalWeb"/>
        <w:ind w:firstLine="851"/>
        <w:rPr>
          <w:b/>
          <w:bCs/>
          <w:sz w:val="28"/>
          <w:szCs w:val="28"/>
          <w:lang w:val="ro-RO"/>
        </w:rPr>
      </w:pPr>
    </w:p>
    <w:p w:rsidR="001D4398" w:rsidRPr="0030418E" w:rsidRDefault="001D4398" w:rsidP="001A02C9">
      <w:pPr>
        <w:pStyle w:val="NormalWeb"/>
        <w:ind w:firstLine="851"/>
        <w:rPr>
          <w:bCs/>
          <w:sz w:val="28"/>
          <w:szCs w:val="28"/>
          <w:lang w:val="ro-RO"/>
        </w:rPr>
      </w:pPr>
      <w:r w:rsidRPr="0030418E">
        <w:rPr>
          <w:b/>
          <w:bCs/>
          <w:sz w:val="28"/>
          <w:szCs w:val="28"/>
          <w:lang w:val="ro-RO"/>
        </w:rPr>
        <w:t xml:space="preserve">Articolul II. </w:t>
      </w:r>
      <w:r w:rsidRPr="0030418E">
        <w:rPr>
          <w:bCs/>
          <w:sz w:val="28"/>
          <w:szCs w:val="28"/>
          <w:lang w:val="ro-RO"/>
        </w:rPr>
        <w:t>Alocarea mijloacelor financiare se va efectua din contul stingerii datoriilor reciproce între Societatea pe Acţiuni „Reţelele Electrice de Distribuţie Nord”, Bălţi, Societatea pe Acţiuni „Reţelele Electrice de Distribuţie Nord-Vest”, Donduşeni, faţă de Întreprinderea de Stat „Moldtranselectro” şi, respectiv, datoriile ÎS ”Moldtranselectro” faţă de Ministerul Finanţelor, după cum urmează:</w:t>
      </w:r>
    </w:p>
    <w:p w:rsidR="001D4398" w:rsidRPr="0030418E" w:rsidRDefault="001D4398" w:rsidP="001A02C9">
      <w:pPr>
        <w:pStyle w:val="NormalWeb"/>
        <w:numPr>
          <w:ilvl w:val="0"/>
          <w:numId w:val="1"/>
        </w:numPr>
        <w:ind w:left="709" w:firstLine="851"/>
        <w:rPr>
          <w:bCs/>
          <w:sz w:val="28"/>
          <w:szCs w:val="28"/>
          <w:lang w:val="ro-RO"/>
        </w:rPr>
      </w:pPr>
      <w:r w:rsidRPr="0030418E">
        <w:rPr>
          <w:bCs/>
          <w:sz w:val="28"/>
          <w:szCs w:val="28"/>
          <w:lang w:val="ro-RO"/>
        </w:rPr>
        <w:t>Societatea pe Acţiuni „Reţelele Electrice de Distribuţie Nord”, Bălţi, va micşora datoriile</w:t>
      </w:r>
      <w:r w:rsidRPr="0030418E">
        <w:rPr>
          <w:sz w:val="28"/>
          <w:szCs w:val="28"/>
          <w:lang w:val="ro-RO"/>
        </w:rPr>
        <w:t xml:space="preserve"> Întreprinderii Municipale Regia „Apă-Canal Bălţi” în sumă de </w:t>
      </w:r>
      <w:r w:rsidRPr="0030418E">
        <w:rPr>
          <w:bCs/>
          <w:sz w:val="28"/>
          <w:szCs w:val="28"/>
          <w:lang w:val="ro-RO"/>
        </w:rPr>
        <w:t>15496445 lei, pentru energia electrică livrată.</w:t>
      </w:r>
    </w:p>
    <w:p w:rsidR="001D4398" w:rsidRPr="0030418E" w:rsidRDefault="001D4398" w:rsidP="001A02C9">
      <w:pPr>
        <w:pStyle w:val="NormalWeb"/>
        <w:numPr>
          <w:ilvl w:val="0"/>
          <w:numId w:val="1"/>
        </w:numPr>
        <w:ind w:left="709" w:firstLine="851"/>
        <w:rPr>
          <w:bCs/>
          <w:sz w:val="28"/>
          <w:szCs w:val="28"/>
          <w:lang w:val="ro-RO"/>
        </w:rPr>
      </w:pPr>
      <w:r w:rsidRPr="0030418E">
        <w:rPr>
          <w:bCs/>
          <w:sz w:val="28"/>
          <w:szCs w:val="28"/>
          <w:lang w:val="ro-RO"/>
        </w:rPr>
        <w:t>Societatea pe Acţiuni „Reţelele Electrice de Distribuţie Nord-Vest”, Donduşeni, va micşora datoriile</w:t>
      </w:r>
      <w:r w:rsidRPr="0030418E">
        <w:rPr>
          <w:sz w:val="28"/>
          <w:szCs w:val="28"/>
          <w:lang w:val="ro-RO"/>
        </w:rPr>
        <w:t xml:space="preserve"> Întreprinderii Municipale Regia „Apă-Canal Bălţi” în sumă de </w:t>
      </w:r>
      <w:r w:rsidRPr="0030418E">
        <w:rPr>
          <w:bCs/>
          <w:sz w:val="28"/>
          <w:szCs w:val="28"/>
          <w:lang w:val="ro-RO"/>
        </w:rPr>
        <w:t>6240557 lei, pentru energia electrică livrată.</w:t>
      </w:r>
    </w:p>
    <w:p w:rsidR="001D4398" w:rsidRPr="0030418E" w:rsidRDefault="001D4398" w:rsidP="001A02C9">
      <w:pPr>
        <w:pStyle w:val="NormalWeb"/>
        <w:ind w:firstLine="851"/>
        <w:rPr>
          <w:bCs/>
          <w:sz w:val="28"/>
          <w:szCs w:val="28"/>
          <w:lang w:val="ro-RO"/>
        </w:rPr>
      </w:pPr>
      <w:r w:rsidRPr="0030418E">
        <w:rPr>
          <w:bCs/>
          <w:sz w:val="28"/>
          <w:szCs w:val="28"/>
          <w:lang w:val="ro-RO"/>
        </w:rPr>
        <w:t xml:space="preserve">c) Societatea pe Acţiuni „Reţelele Electrice de Distribuţie Nord-Vest”, Donduşeni, va micşora datoriile </w:t>
      </w:r>
      <w:r w:rsidRPr="0030418E">
        <w:rPr>
          <w:sz w:val="28"/>
          <w:szCs w:val="28"/>
          <w:lang w:val="ro-RO"/>
        </w:rPr>
        <w:t xml:space="preserve">Întreprinderii Interraionale de Stat „Acva-Nord” în sumă de 50095260 </w:t>
      </w:r>
      <w:r w:rsidRPr="0030418E">
        <w:rPr>
          <w:bCs/>
          <w:sz w:val="28"/>
          <w:szCs w:val="28"/>
          <w:lang w:val="ro-RO"/>
        </w:rPr>
        <w:t>lei, pentru energia electrică livrată.</w:t>
      </w:r>
    </w:p>
    <w:p w:rsidR="001D4398" w:rsidRPr="0030418E" w:rsidRDefault="001D4398" w:rsidP="001A02C9">
      <w:pPr>
        <w:pStyle w:val="NormalWeb"/>
        <w:ind w:firstLine="851"/>
        <w:rPr>
          <w:bCs/>
          <w:sz w:val="28"/>
          <w:szCs w:val="28"/>
          <w:lang w:val="ro-RO"/>
        </w:rPr>
      </w:pPr>
      <w:r w:rsidRPr="0030418E">
        <w:rPr>
          <w:bCs/>
          <w:sz w:val="28"/>
          <w:szCs w:val="28"/>
          <w:lang w:val="ro-RO"/>
        </w:rPr>
        <w:t xml:space="preserve">d) Întreprinderea de Stat „Moldtranselectro” va micşora datoriile Societăţii pe Acţiuni „Reţelele Electrice de Distribuţie Nord”, Bălţi, în sumă de 15496445 lei, şi Societăţii pe Acţiuni „Reţelele Electrice de Distribuţie Nord-Vest”, Donduşeni, în </w:t>
      </w:r>
      <w:r w:rsidRPr="0030418E">
        <w:rPr>
          <w:sz w:val="28"/>
          <w:szCs w:val="28"/>
          <w:lang w:val="ro-RO"/>
        </w:rPr>
        <w:t>sumă de 56335817</w:t>
      </w:r>
      <w:r w:rsidRPr="0030418E">
        <w:rPr>
          <w:bCs/>
          <w:sz w:val="28"/>
          <w:szCs w:val="28"/>
          <w:lang w:val="ro-RO"/>
        </w:rPr>
        <w:t xml:space="preserve"> lei, din contul sumelor incluse în Acord Memorandumul semnat de către părţi.</w:t>
      </w:r>
    </w:p>
    <w:p w:rsidR="001D4398" w:rsidRPr="0030418E" w:rsidRDefault="001D4398" w:rsidP="001A02C9">
      <w:pPr>
        <w:pStyle w:val="NormalWeb"/>
        <w:ind w:firstLine="851"/>
        <w:rPr>
          <w:bCs/>
          <w:sz w:val="28"/>
          <w:szCs w:val="28"/>
          <w:lang w:val="ro-RO"/>
        </w:rPr>
      </w:pPr>
      <w:r w:rsidRPr="0030418E">
        <w:rPr>
          <w:bCs/>
          <w:sz w:val="28"/>
          <w:szCs w:val="28"/>
          <w:lang w:val="ro-RO"/>
        </w:rPr>
        <w:t>e) Ministerul Finanţelor va micşora datoria Întreprinderii de Stat „Moldtranselectro” formată în rezultatul neefectuării plăţilor pentru creditele acordate anterior în limita datoriilor formate ale întreprinderilor de distribuţie a energiei electrice, în sumă de 71832262 lei.</w:t>
      </w:r>
    </w:p>
    <w:p w:rsidR="001D4398" w:rsidRDefault="001D4398" w:rsidP="001A02C9">
      <w:pPr>
        <w:pStyle w:val="NormalWeb"/>
        <w:ind w:firstLine="851"/>
        <w:rPr>
          <w:b/>
          <w:bCs/>
          <w:sz w:val="28"/>
          <w:szCs w:val="28"/>
          <w:lang w:val="ro-RO"/>
        </w:rPr>
      </w:pPr>
    </w:p>
    <w:p w:rsidR="001D4398" w:rsidRPr="0030418E" w:rsidRDefault="001D4398" w:rsidP="001A02C9">
      <w:pPr>
        <w:pStyle w:val="NormalWeb"/>
        <w:ind w:firstLine="851"/>
        <w:rPr>
          <w:bCs/>
          <w:sz w:val="28"/>
          <w:szCs w:val="28"/>
          <w:lang w:val="ro-RO"/>
        </w:rPr>
      </w:pPr>
      <w:r w:rsidRPr="0030418E">
        <w:rPr>
          <w:b/>
          <w:bCs/>
          <w:sz w:val="28"/>
          <w:szCs w:val="28"/>
          <w:lang w:val="ro-RO"/>
        </w:rPr>
        <w:t xml:space="preserve">Articolul III. </w:t>
      </w:r>
      <w:r w:rsidRPr="0030418E">
        <w:rPr>
          <w:bCs/>
          <w:sz w:val="28"/>
          <w:szCs w:val="28"/>
          <w:lang w:val="ro-RO"/>
        </w:rPr>
        <w:t>Sumele utilizate pentru stingerea datoriilor conform art. 1 şi 2 ale prezentei legi nu se i-au în considerare la determinarea venitului impozabil la prezentarea de către agenţii economici menţionaţi la art. 1 şi 2 a declaraţiilor cu privire la impozitul pe venitul persoanei care practică activitate de întreprinzător în anul în care a fost obţinut acest venit şi se foloseşte la acoperirea pierderilor din anii precedenţi.</w:t>
      </w:r>
    </w:p>
    <w:p w:rsidR="001D4398" w:rsidRPr="0030418E" w:rsidRDefault="001D4398" w:rsidP="001A02C9">
      <w:pPr>
        <w:ind w:firstLine="851"/>
        <w:rPr>
          <w:rFonts w:ascii="Times New Roman" w:hAnsi="Times New Roman"/>
          <w:sz w:val="28"/>
          <w:szCs w:val="28"/>
          <w:lang w:val="ro-RO"/>
        </w:rPr>
      </w:pPr>
    </w:p>
    <w:p w:rsidR="001D4398" w:rsidRPr="0030418E" w:rsidRDefault="001D4398" w:rsidP="001A02C9">
      <w:pPr>
        <w:ind w:firstLine="851"/>
        <w:rPr>
          <w:rFonts w:ascii="Times New Roman" w:hAnsi="Times New Roman"/>
          <w:sz w:val="28"/>
          <w:szCs w:val="28"/>
          <w:lang w:val="ro-RO"/>
        </w:rPr>
      </w:pPr>
    </w:p>
    <w:p w:rsidR="001D4398" w:rsidRPr="0030418E" w:rsidRDefault="001D4398" w:rsidP="001A02C9">
      <w:pPr>
        <w:ind w:firstLine="851"/>
        <w:jc w:val="both"/>
        <w:rPr>
          <w:rFonts w:ascii="Times New Roman" w:hAnsi="Times New Roman"/>
          <w:b/>
          <w:sz w:val="28"/>
          <w:szCs w:val="28"/>
          <w:lang w:val="ro-RO"/>
        </w:rPr>
      </w:pPr>
      <w:r w:rsidRPr="0030418E">
        <w:rPr>
          <w:rFonts w:ascii="Times New Roman" w:hAnsi="Times New Roman"/>
          <w:b/>
          <w:sz w:val="28"/>
          <w:szCs w:val="28"/>
          <w:lang w:val="ro-RO"/>
        </w:rPr>
        <w:t xml:space="preserve">PREŞEDINTELE  PARLAMENTULUI    </w:t>
      </w:r>
      <w:r w:rsidRPr="0030418E">
        <w:rPr>
          <w:rFonts w:ascii="Times New Roman" w:hAnsi="Times New Roman"/>
          <w:b/>
          <w:sz w:val="28"/>
          <w:szCs w:val="28"/>
          <w:lang w:val="ro-RO"/>
        </w:rPr>
        <w:tab/>
        <w:t xml:space="preserve">                    Marian Lupu</w:t>
      </w:r>
    </w:p>
    <w:p w:rsidR="001D4398" w:rsidRPr="0030418E"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1A02C9">
      <w:pPr>
        <w:ind w:firstLine="851"/>
        <w:jc w:val="both"/>
        <w:rPr>
          <w:rFonts w:ascii="Times New Roman" w:hAnsi="Times New Roman"/>
          <w:b/>
          <w:sz w:val="28"/>
          <w:szCs w:val="28"/>
          <w:lang w:val="ro-RO"/>
        </w:rPr>
      </w:pPr>
    </w:p>
    <w:p w:rsidR="001D4398" w:rsidRDefault="001D4398" w:rsidP="003063AA">
      <w:pPr>
        <w:spacing w:after="0" w:line="240" w:lineRule="auto"/>
        <w:ind w:firstLine="851"/>
        <w:jc w:val="center"/>
        <w:rPr>
          <w:rFonts w:ascii="Times New Roman" w:hAnsi="Times New Roman"/>
          <w:b/>
          <w:sz w:val="28"/>
          <w:szCs w:val="28"/>
          <w:lang w:val="ro-RO"/>
        </w:rPr>
      </w:pPr>
      <w:r w:rsidRPr="0030418E">
        <w:rPr>
          <w:rFonts w:ascii="Times New Roman" w:hAnsi="Times New Roman"/>
          <w:b/>
          <w:sz w:val="28"/>
          <w:szCs w:val="28"/>
          <w:lang w:val="ro-RO"/>
        </w:rPr>
        <w:t>Expunere de motive</w:t>
      </w:r>
    </w:p>
    <w:p w:rsidR="001D4398" w:rsidRPr="0030418E" w:rsidRDefault="001D4398" w:rsidP="001A02C9">
      <w:pPr>
        <w:shd w:val="clear" w:color="auto" w:fill="FFFFFF"/>
        <w:spacing w:after="0"/>
        <w:ind w:right="10" w:firstLine="851"/>
        <w:jc w:val="center"/>
        <w:rPr>
          <w:rFonts w:ascii="Times New Roman" w:hAnsi="Times New Roman"/>
          <w:color w:val="000000"/>
          <w:sz w:val="28"/>
          <w:szCs w:val="28"/>
          <w:lang w:val="ro-RO"/>
        </w:rPr>
      </w:pPr>
      <w:r w:rsidRPr="0030418E">
        <w:rPr>
          <w:rFonts w:ascii="Times New Roman" w:hAnsi="Times New Roman"/>
          <w:color w:val="000000"/>
          <w:sz w:val="28"/>
          <w:szCs w:val="28"/>
          <w:lang w:val="ro-RO"/>
        </w:rPr>
        <w:t>la proiectul de lege privind ameliorarea situaţiei financiare ale</w:t>
      </w:r>
    </w:p>
    <w:p w:rsidR="001D4398" w:rsidRDefault="001D4398" w:rsidP="001A02C9">
      <w:pPr>
        <w:shd w:val="clear" w:color="auto" w:fill="FFFFFF"/>
        <w:ind w:right="10" w:firstLine="851"/>
        <w:jc w:val="center"/>
        <w:rPr>
          <w:rFonts w:ascii="Times New Roman" w:hAnsi="Times New Roman"/>
          <w:color w:val="000000"/>
          <w:sz w:val="28"/>
          <w:szCs w:val="28"/>
          <w:lang w:val="ro-RO"/>
        </w:rPr>
      </w:pPr>
      <w:r w:rsidRPr="0030418E">
        <w:rPr>
          <w:rFonts w:ascii="Times New Roman" w:hAnsi="Times New Roman"/>
          <w:color w:val="000000"/>
          <w:sz w:val="28"/>
          <w:szCs w:val="28"/>
          <w:lang w:val="ro-RO"/>
        </w:rPr>
        <w:t>întreprinderilor prestatoare de servicii publice de gospodărie comunală</w:t>
      </w:r>
    </w:p>
    <w:p w:rsidR="001D4398" w:rsidRPr="0030418E" w:rsidRDefault="001D4398" w:rsidP="001A02C9">
      <w:pPr>
        <w:shd w:val="clear" w:color="auto" w:fill="FFFFFF"/>
        <w:spacing w:after="0"/>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Necesitatea adoptării legii date este impusă de situaţia actuală privind plăţile între întreprinderile prestatoare de servicii publice de gospodărie comunală şi întreprinderile de distribuţie a energiei electrice SA „RED Nord” şi SA „RED Nord-Vest” pentru serviciile prestate. La moment o mare parte din problemele cu caracter economic cu care se confruntă întreprinderile prestatoare de servicii publice de gospodărie comunală sunt generate de creşterea permanentă a tarifelor la resursele energetice, uzura fizică mare a utilajului tehnologic, necorespundere a tarifelor existente, precum şi povara datoriilor, formate din 1999, faţă de întreprinderile complexului energetic. Pentru restituirea surselor financiare, întreprinderile energetice au iniţiat un şir de acţiuni în instanţele judiciare ale Republicii Moldova privind eliberarea titlurilor executorii de încasare forţată a acestora. Însă, pînă la urmă, problema privind achitările n-a fost soluţionată.</w:t>
      </w:r>
    </w:p>
    <w:p w:rsidR="001D4398" w:rsidRPr="0030418E" w:rsidRDefault="001D4398" w:rsidP="001A02C9">
      <w:pPr>
        <w:shd w:val="clear" w:color="auto" w:fill="FFFFFF"/>
        <w:spacing w:after="0"/>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 xml:space="preserve">Datoriile Întreprinderii Interraionale de Stat „Acva-Nord” faţă de SA „RED Nord-Vest” constituie </w:t>
      </w:r>
      <w:r w:rsidRPr="0030418E">
        <w:rPr>
          <w:rFonts w:ascii="Times New Roman" w:hAnsi="Times New Roman"/>
          <w:sz w:val="28"/>
          <w:szCs w:val="28"/>
          <w:lang w:val="ro-RO"/>
        </w:rPr>
        <w:t xml:space="preserve">50095260 </w:t>
      </w:r>
      <w:r w:rsidRPr="0030418E">
        <w:rPr>
          <w:rFonts w:ascii="Times New Roman" w:hAnsi="Times New Roman"/>
          <w:color w:val="000000"/>
          <w:sz w:val="28"/>
          <w:szCs w:val="28"/>
          <w:lang w:val="ro-RO"/>
        </w:rPr>
        <w:t xml:space="preserve">lei la 1 martie 2011, iar datoriile Întreprinderii Municipale „Regia Apă- Canal  Bălţi” faţă de SA”RED Nord” la 1 martie 2011 constituie </w:t>
      </w:r>
      <w:r w:rsidRPr="0030418E">
        <w:rPr>
          <w:rFonts w:ascii="Times New Roman" w:hAnsi="Times New Roman"/>
          <w:bCs/>
          <w:sz w:val="28"/>
          <w:szCs w:val="28"/>
          <w:lang w:val="ro-RO"/>
        </w:rPr>
        <w:t xml:space="preserve">15496445 </w:t>
      </w:r>
      <w:r w:rsidRPr="0030418E">
        <w:rPr>
          <w:rFonts w:ascii="Times New Roman" w:hAnsi="Times New Roman"/>
          <w:color w:val="000000"/>
          <w:sz w:val="28"/>
          <w:szCs w:val="28"/>
          <w:lang w:val="ro-RO"/>
        </w:rPr>
        <w:t xml:space="preserve">lei, iar faţă de SA „RED Nord-Vest” - </w:t>
      </w:r>
      <w:r w:rsidRPr="0030418E">
        <w:rPr>
          <w:rFonts w:ascii="Times New Roman" w:hAnsi="Times New Roman"/>
          <w:bCs/>
          <w:sz w:val="28"/>
          <w:szCs w:val="28"/>
          <w:lang w:val="ro-RO"/>
        </w:rPr>
        <w:t>6240557 lei.</w:t>
      </w:r>
    </w:p>
    <w:p w:rsidR="001D4398" w:rsidRPr="0030418E" w:rsidRDefault="001D4398" w:rsidP="001A02C9">
      <w:pPr>
        <w:shd w:val="clear" w:color="auto" w:fill="FFFFFF"/>
        <w:spacing w:after="0"/>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Neonorarea obligaţiunilor de plată de către întreprinderile prestatoare de servicii publice de gospodărie comunală faţă de RED-uri şi ÎS „Moldtranselectro” s-a răsfrînt negativ asupra activităţii de bază a acestora din urmă, care, la rîndul său, au obligaţiunile sale contractuale, precum şi obligaţiuni de plată, conform Acordului-memorandum încheiat cu Consiliul Creditorilor. Cu regret, graficul de achitare a datoriilor nu se respectă.</w:t>
      </w:r>
    </w:p>
    <w:p w:rsidR="001D4398" w:rsidRPr="0030418E" w:rsidRDefault="001D4398" w:rsidP="001A02C9">
      <w:pPr>
        <w:shd w:val="clear" w:color="auto" w:fill="FFFFFF"/>
        <w:spacing w:after="0"/>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Datoriile ÎS „Moldtranselectro” faţă de Ministerul Finanţelor pe creditele şi garanţiile acordate constituie 78,4 mln. lei.</w:t>
      </w:r>
    </w:p>
    <w:p w:rsidR="001D4398" w:rsidRPr="0030418E" w:rsidRDefault="001D4398" w:rsidP="001A02C9">
      <w:pPr>
        <w:shd w:val="clear" w:color="auto" w:fill="FFFFFF"/>
        <w:spacing w:after="0"/>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Aprobarea legii propuse este soluţia oportună şi ar lichida definitiv cercul vicios existent.</w:t>
      </w:r>
    </w:p>
    <w:p w:rsidR="001D4398" w:rsidRPr="0030418E" w:rsidRDefault="001D4398" w:rsidP="001A02C9">
      <w:pPr>
        <w:shd w:val="clear" w:color="auto" w:fill="FFFFFF"/>
        <w:ind w:left="-540" w:right="10" w:firstLine="851"/>
        <w:jc w:val="both"/>
        <w:rPr>
          <w:rFonts w:ascii="Times New Roman" w:hAnsi="Times New Roman"/>
          <w:color w:val="000000"/>
          <w:sz w:val="28"/>
          <w:szCs w:val="28"/>
          <w:lang w:val="ro-RO"/>
        </w:rPr>
      </w:pPr>
      <w:r w:rsidRPr="0030418E">
        <w:rPr>
          <w:rFonts w:ascii="Times New Roman" w:hAnsi="Times New Roman"/>
          <w:color w:val="000000"/>
          <w:sz w:val="28"/>
          <w:szCs w:val="28"/>
          <w:lang w:val="ro-RO"/>
        </w:rPr>
        <w:t xml:space="preserve">Întru îndeplinirea Programului de alimentare cu apă şi canalizare a localităţilor din Republica Moldova pînă în 2015, aprobat prin Hotărîrea Guvernului nr.1406 din 30.12.2005, este necesară soluţionarea urgentă a problemelor de ordin tehnic, economic şi organizatoric, precum şi ameliorarea situaţiei economico-financiare a întreprinderilor prestatoare de servicii publice de gospodărie comunală în conformitate cu Legea nr.1402-XV din 24.10.2002. Astfel, se va crea posibilitatea de a scuti întreprinderile prestatore de servicii publice de gospodărie comunală de povara datoriilor istorice, ceea ce va permite relansarea activităţii lor pentru prestarea serviciilor de calitate populaţiei din nordul ţării. </w:t>
      </w:r>
    </w:p>
    <w:p w:rsidR="001D4398" w:rsidRDefault="001D4398" w:rsidP="001A02C9">
      <w:pPr>
        <w:tabs>
          <w:tab w:val="left" w:pos="4820"/>
        </w:tabs>
        <w:ind w:firstLine="851"/>
        <w:rPr>
          <w:rFonts w:ascii="Times New Roman" w:hAnsi="Times New Roman"/>
          <w:b/>
          <w:sz w:val="28"/>
          <w:szCs w:val="28"/>
          <w:lang w:val="ro-RO"/>
        </w:rPr>
      </w:pPr>
    </w:p>
    <w:p w:rsidR="001D4398" w:rsidRPr="0030418E" w:rsidRDefault="001D4398" w:rsidP="001A02C9">
      <w:pPr>
        <w:tabs>
          <w:tab w:val="left" w:pos="4820"/>
        </w:tabs>
        <w:ind w:firstLine="851"/>
        <w:rPr>
          <w:rFonts w:ascii="Times New Roman" w:hAnsi="Times New Roman"/>
          <w:sz w:val="28"/>
          <w:szCs w:val="28"/>
          <w:lang w:val="ro-RO"/>
        </w:rPr>
      </w:pPr>
      <w:r w:rsidRPr="0030418E">
        <w:rPr>
          <w:rFonts w:ascii="Times New Roman" w:hAnsi="Times New Roman"/>
          <w:b/>
          <w:sz w:val="28"/>
          <w:szCs w:val="28"/>
          <w:lang w:val="ro-RO"/>
        </w:rPr>
        <w:t xml:space="preserve">Deputatul                                                                      Alexandru Cimbriciuc </w:t>
      </w:r>
    </w:p>
    <w:sectPr w:rsidR="001D4398" w:rsidRPr="0030418E" w:rsidSect="00FC3BDA">
      <w:footerReference w:type="default" r:id="rId7"/>
      <w:pgSz w:w="11906" w:h="16838" w:code="9"/>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98" w:rsidRDefault="001D4398" w:rsidP="00C80ADF">
      <w:pPr>
        <w:spacing w:after="0" w:line="240" w:lineRule="auto"/>
      </w:pPr>
      <w:r>
        <w:separator/>
      </w:r>
    </w:p>
  </w:endnote>
  <w:endnote w:type="continuationSeparator" w:id="0">
    <w:p w:rsidR="001D4398" w:rsidRDefault="001D4398" w:rsidP="00C80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98" w:rsidRDefault="001D4398">
    <w:pPr>
      <w:pStyle w:val="Footer"/>
      <w:jc w:val="center"/>
    </w:pPr>
    <w:fldSimple w:instr=" PAGE   \* MERGEFORMAT ">
      <w:r>
        <w:rPr>
          <w:noProof/>
        </w:rPr>
        <w:t>3</w:t>
      </w:r>
    </w:fldSimple>
  </w:p>
  <w:p w:rsidR="001D4398" w:rsidRDefault="001D4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98" w:rsidRDefault="001D4398" w:rsidP="00C80ADF">
      <w:pPr>
        <w:spacing w:after="0" w:line="240" w:lineRule="auto"/>
      </w:pPr>
      <w:r>
        <w:separator/>
      </w:r>
    </w:p>
  </w:footnote>
  <w:footnote w:type="continuationSeparator" w:id="0">
    <w:p w:rsidR="001D4398" w:rsidRDefault="001D4398" w:rsidP="00C80A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86AFA"/>
    <w:multiLevelType w:val="singleLevel"/>
    <w:tmpl w:val="0419000F"/>
    <w:lvl w:ilvl="0">
      <w:start w:val="1"/>
      <w:numFmt w:val="decimal"/>
      <w:lvlText w:val="%1."/>
      <w:lvlJc w:val="left"/>
      <w:pPr>
        <w:tabs>
          <w:tab w:val="num" w:pos="1800"/>
        </w:tabs>
        <w:ind w:left="1800" w:hanging="360"/>
      </w:pPr>
      <w:rPr>
        <w:rFonts w:cs="Times New Roman" w:hint="default"/>
      </w:rPr>
    </w:lvl>
  </w:abstractNum>
  <w:abstractNum w:abstractNumId="1">
    <w:nsid w:val="3758718E"/>
    <w:multiLevelType w:val="singleLevel"/>
    <w:tmpl w:val="0419000F"/>
    <w:lvl w:ilvl="0">
      <w:start w:val="1"/>
      <w:numFmt w:val="decimal"/>
      <w:lvlText w:val="%1."/>
      <w:lvlJc w:val="left"/>
      <w:pPr>
        <w:tabs>
          <w:tab w:val="num" w:pos="1800"/>
        </w:tabs>
        <w:ind w:left="1800" w:hanging="360"/>
      </w:pPr>
      <w:rPr>
        <w:rFonts w:cs="Times New Roman" w:hint="default"/>
      </w:rPr>
    </w:lvl>
  </w:abstractNum>
  <w:abstractNum w:abstractNumId="2">
    <w:nsid w:val="57191F71"/>
    <w:multiLevelType w:val="hybridMultilevel"/>
    <w:tmpl w:val="F3D6E640"/>
    <w:lvl w:ilvl="0" w:tplc="3872BB54">
      <w:start w:val="1"/>
      <w:numFmt w:val="lowerLetter"/>
      <w:lvlText w:val="%1)"/>
      <w:lvlJc w:val="left"/>
      <w:pPr>
        <w:ind w:left="1482" w:hanging="91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BDA"/>
    <w:rsid w:val="000477D7"/>
    <w:rsid w:val="0008714C"/>
    <w:rsid w:val="000B0533"/>
    <w:rsid w:val="001A02C9"/>
    <w:rsid w:val="001D4398"/>
    <w:rsid w:val="001F7E7E"/>
    <w:rsid w:val="002854E2"/>
    <w:rsid w:val="0030418E"/>
    <w:rsid w:val="003063AA"/>
    <w:rsid w:val="004B2863"/>
    <w:rsid w:val="0051130F"/>
    <w:rsid w:val="00694321"/>
    <w:rsid w:val="008D137F"/>
    <w:rsid w:val="00907D48"/>
    <w:rsid w:val="009C08B2"/>
    <w:rsid w:val="00AC5FCF"/>
    <w:rsid w:val="00C2082F"/>
    <w:rsid w:val="00C80ADF"/>
    <w:rsid w:val="00E000D4"/>
    <w:rsid w:val="00F302CE"/>
    <w:rsid w:val="00F468E2"/>
    <w:rsid w:val="00FC3BDA"/>
    <w:rsid w:val="00FD4C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BDA"/>
    <w:pPr>
      <w:spacing w:after="200" w:line="276" w:lineRule="auto"/>
    </w:pPr>
    <w:rPr>
      <w:rFonts w:eastAsia="Times New Roman"/>
    </w:rPr>
  </w:style>
  <w:style w:type="paragraph" w:styleId="Heading1">
    <w:name w:val="heading 1"/>
    <w:basedOn w:val="Normal"/>
    <w:next w:val="Normal"/>
    <w:link w:val="Heading1Char"/>
    <w:uiPriority w:val="99"/>
    <w:qFormat/>
    <w:rsid w:val="0030418E"/>
    <w:pPr>
      <w:keepNext/>
      <w:spacing w:after="0" w:line="240" w:lineRule="auto"/>
      <w:jc w:val="right"/>
      <w:outlineLvl w:val="0"/>
    </w:pPr>
    <w:rPr>
      <w:rFonts w:ascii="Times New Roman" w:hAnsi="Times New Roman"/>
      <w:b/>
      <w:i/>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18E"/>
    <w:rPr>
      <w:rFonts w:ascii="Times New Roman" w:hAnsi="Times New Roman" w:cs="Times New Roman"/>
      <w:b/>
      <w:i/>
      <w:sz w:val="28"/>
      <w:lang w:val="ro-RO"/>
    </w:rPr>
  </w:style>
  <w:style w:type="paragraph" w:styleId="NormalWeb">
    <w:name w:val="Normal (Web)"/>
    <w:basedOn w:val="Normal"/>
    <w:uiPriority w:val="99"/>
    <w:rsid w:val="00FC3BDA"/>
    <w:pPr>
      <w:spacing w:after="0" w:line="240" w:lineRule="auto"/>
      <w:ind w:firstLine="567"/>
      <w:jc w:val="both"/>
    </w:pPr>
    <w:rPr>
      <w:rFonts w:ascii="Times New Roman" w:hAnsi="Times New Roman"/>
      <w:sz w:val="24"/>
      <w:szCs w:val="24"/>
    </w:rPr>
  </w:style>
  <w:style w:type="paragraph" w:styleId="BalloonText">
    <w:name w:val="Balloon Text"/>
    <w:basedOn w:val="Normal"/>
    <w:link w:val="BalloonTextChar"/>
    <w:uiPriority w:val="99"/>
    <w:semiHidden/>
    <w:rsid w:val="00C8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ADF"/>
    <w:rPr>
      <w:rFonts w:ascii="Tahoma" w:hAnsi="Tahoma" w:cs="Tahoma"/>
      <w:sz w:val="16"/>
      <w:szCs w:val="16"/>
    </w:rPr>
  </w:style>
  <w:style w:type="paragraph" w:styleId="Header">
    <w:name w:val="header"/>
    <w:basedOn w:val="Normal"/>
    <w:link w:val="HeaderChar"/>
    <w:uiPriority w:val="99"/>
    <w:semiHidden/>
    <w:rsid w:val="00C80ADF"/>
    <w:pPr>
      <w:tabs>
        <w:tab w:val="center" w:pos="4677"/>
        <w:tab w:val="right" w:pos="9355"/>
      </w:tabs>
    </w:pPr>
  </w:style>
  <w:style w:type="character" w:customStyle="1" w:styleId="HeaderChar">
    <w:name w:val="Header Char"/>
    <w:basedOn w:val="DefaultParagraphFont"/>
    <w:link w:val="Header"/>
    <w:uiPriority w:val="99"/>
    <w:semiHidden/>
    <w:locked/>
    <w:rsid w:val="00C80ADF"/>
    <w:rPr>
      <w:rFonts w:eastAsia="Times New Roman" w:cs="Times New Roman"/>
      <w:sz w:val="22"/>
      <w:szCs w:val="22"/>
    </w:rPr>
  </w:style>
  <w:style w:type="paragraph" w:styleId="Footer">
    <w:name w:val="footer"/>
    <w:basedOn w:val="Normal"/>
    <w:link w:val="FooterChar"/>
    <w:uiPriority w:val="99"/>
    <w:rsid w:val="00C80ADF"/>
    <w:pPr>
      <w:tabs>
        <w:tab w:val="center" w:pos="4677"/>
        <w:tab w:val="right" w:pos="9355"/>
      </w:tabs>
    </w:pPr>
  </w:style>
  <w:style w:type="character" w:customStyle="1" w:styleId="FooterChar">
    <w:name w:val="Footer Char"/>
    <w:basedOn w:val="DefaultParagraphFont"/>
    <w:link w:val="Footer"/>
    <w:uiPriority w:val="99"/>
    <w:locked/>
    <w:rsid w:val="00C80ADF"/>
    <w:rPr>
      <w:rFonts w:eastAsia="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962</Words>
  <Characters>5487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899.2011.ro</dc:title>
  <dc:subject/>
  <dc:creator>user</dc:creator>
  <cp:keywords/>
  <dc:description/>
  <cp:lastModifiedBy>Lilia</cp:lastModifiedBy>
  <cp:revision>2</cp:revision>
  <cp:lastPrinted>2011-04-14T17:14:00Z</cp:lastPrinted>
  <dcterms:created xsi:type="dcterms:W3CDTF">2011-04-14T17:39:00Z</dcterms:created>
  <dcterms:modified xsi:type="dcterms:W3CDTF">2011-04-14T17:39:00Z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