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28"/>
          <w:szCs w:val="28"/>
          <w:lang w:val="ro-RO"/>
        </w:rPr>
        <w:id w:val="21831479"/>
        <w:docPartObj>
          <w:docPartGallery w:val="Cover Pages"/>
          <w:docPartUnique/>
        </w:docPartObj>
      </w:sdtPr>
      <w:sdtEndPr>
        <w:rPr>
          <w:rFonts w:asciiTheme="majorHAnsi" w:hAnsiTheme="majorHAnsi"/>
        </w:rPr>
      </w:sdtEndPr>
      <w:sdtContent>
        <w:p w:rsidR="003717C1" w:rsidRPr="00985EBC" w:rsidRDefault="003717C1">
          <w:pPr>
            <w:rPr>
              <w:sz w:val="28"/>
              <w:szCs w:val="28"/>
              <w:lang w:val="ro-RO"/>
            </w:rPr>
          </w:pPr>
          <w:r w:rsidRPr="00985EBC">
            <w:rPr>
              <w:noProof/>
              <w:sz w:val="20"/>
              <w:lang w:eastAsia="ru-RU"/>
            </w:rPr>
            <w:drawing>
              <wp:inline distT="0" distB="0" distL="0" distR="0">
                <wp:extent cx="1047750" cy="876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47750" cy="876300"/>
                        </a:xfrm>
                        <a:prstGeom prst="rect">
                          <a:avLst/>
                        </a:prstGeom>
                        <a:noFill/>
                        <a:ln w="9525">
                          <a:noFill/>
                          <a:miter lim="800000"/>
                          <a:headEnd/>
                          <a:tailEnd/>
                        </a:ln>
                      </pic:spPr>
                    </pic:pic>
                  </a:graphicData>
                </a:graphic>
              </wp:inline>
            </w:drawing>
          </w:r>
          <w:r w:rsidR="00AD408C">
            <w:rPr>
              <w:sz w:val="28"/>
              <w:szCs w:val="28"/>
              <w:lang w:val="ro-RO"/>
            </w:rPr>
            <w:t xml:space="preserve">                                                                         </w:t>
          </w:r>
          <w:r w:rsidR="00AD408C" w:rsidRPr="00AD408C">
            <w:rPr>
              <w:sz w:val="28"/>
              <w:szCs w:val="28"/>
              <w:lang w:val="ro-RO"/>
            </w:rPr>
            <w:drawing>
              <wp:inline distT="0" distB="0" distL="0" distR="0">
                <wp:extent cx="1697832" cy="875853"/>
                <wp:effectExtent l="1905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707613" cy="880899"/>
                        </a:xfrm>
                        <a:prstGeom prst="rect">
                          <a:avLst/>
                        </a:prstGeom>
                        <a:noFill/>
                        <a:ln w="9525">
                          <a:noFill/>
                          <a:miter lim="800000"/>
                          <a:headEnd/>
                          <a:tailEnd/>
                        </a:ln>
                      </pic:spPr>
                    </pic:pic>
                  </a:graphicData>
                </a:graphic>
              </wp:inline>
            </w:drawing>
          </w:r>
        </w:p>
        <w:tbl>
          <w:tblPr>
            <w:tblpPr w:leftFromText="187" w:rightFromText="187" w:horzAnchor="margin" w:tblpXSpec="center" w:tblpYSpec="bottom"/>
            <w:tblW w:w="4000" w:type="pct"/>
            <w:tblLook w:val="04A0"/>
          </w:tblPr>
          <w:tblGrid>
            <w:gridCol w:w="7668"/>
          </w:tblGrid>
          <w:tr w:rsidR="003717C1" w:rsidRPr="00985EBC">
            <w:tc>
              <w:tcPr>
                <w:tcW w:w="7672" w:type="dxa"/>
                <w:tcMar>
                  <w:top w:w="216" w:type="dxa"/>
                  <w:left w:w="115" w:type="dxa"/>
                  <w:bottom w:w="216" w:type="dxa"/>
                  <w:right w:w="115" w:type="dxa"/>
                </w:tcMar>
              </w:tcPr>
              <w:sdt>
                <w:sdtPr>
                  <w:rPr>
                    <w:rFonts w:asciiTheme="majorHAnsi" w:hAnsiTheme="majorHAnsi"/>
                    <w:b/>
                    <w:color w:val="0F243E" w:themeColor="text2" w:themeShade="80"/>
                    <w:sz w:val="28"/>
                    <w:szCs w:val="28"/>
                    <w:lang w:val="ro-RO"/>
                  </w:rPr>
                  <w:alias w:val="Автор"/>
                  <w:id w:val="13406928"/>
                  <w:dataBinding w:prefixMappings="xmlns:ns0='http://schemas.openxmlformats.org/package/2006/metadata/core-properties' xmlns:ns1='http://purl.org/dc/elements/1.1/'" w:xpath="/ns0:coreProperties[1]/ns1:creator[1]" w:storeItemID="{6C3C8BC8-F283-45AE-878A-BAB7291924A1}"/>
                  <w:text/>
                </w:sdtPr>
                <w:sdtContent>
                  <w:p w:rsidR="003717C1" w:rsidRPr="00EC15F7" w:rsidRDefault="003717C1">
                    <w:pPr>
                      <w:pStyle w:val="NoSpacing"/>
                      <w:rPr>
                        <w:rFonts w:asciiTheme="majorHAnsi" w:hAnsiTheme="majorHAnsi"/>
                        <w:b/>
                        <w:color w:val="0F243E" w:themeColor="text2" w:themeShade="80"/>
                        <w:sz w:val="28"/>
                        <w:szCs w:val="28"/>
                        <w:lang w:val="ro-RO"/>
                      </w:rPr>
                    </w:pPr>
                    <w:r w:rsidRPr="00EC15F7">
                      <w:rPr>
                        <w:rFonts w:asciiTheme="majorHAnsi" w:hAnsiTheme="majorHAnsi"/>
                        <w:b/>
                        <w:color w:val="0F243E" w:themeColor="text2" w:themeShade="80"/>
                        <w:sz w:val="28"/>
                        <w:szCs w:val="28"/>
                        <w:lang w:val="ro-RO"/>
                      </w:rPr>
                      <w:t>CHIŞINĂU</w:t>
                    </w:r>
                  </w:p>
                </w:sdtContent>
              </w:sdt>
              <w:sdt>
                <w:sdtPr>
                  <w:rPr>
                    <w:rFonts w:asciiTheme="majorHAnsi" w:hAnsiTheme="majorHAnsi"/>
                    <w:b/>
                    <w:color w:val="0F243E" w:themeColor="text2" w:themeShade="80"/>
                    <w:sz w:val="28"/>
                    <w:szCs w:val="28"/>
                    <w:lang w:val="ro-RO"/>
                  </w:rPr>
                  <w:alias w:val="Дата"/>
                  <w:id w:val="13406932"/>
                  <w:dataBinding w:prefixMappings="xmlns:ns0='http://schemas.microsoft.com/office/2006/coverPageProps'" w:xpath="/ns0:CoverPageProperties[1]/ns0:PublishDate[1]" w:storeItemID="{55AF091B-3C7A-41E3-B477-F2FDAA23CFDA}"/>
                  <w:date w:fullDate="2015-01-27T00:00:00Z">
                    <w:dateFormat w:val="dd.MM.yyyy"/>
                    <w:lid w:val="ru-RU"/>
                    <w:storeMappedDataAs w:val="dateTime"/>
                    <w:calendar w:val="gregorian"/>
                  </w:date>
                </w:sdtPr>
                <w:sdtContent>
                  <w:p w:rsidR="003717C1" w:rsidRPr="00EC15F7" w:rsidRDefault="001F70B3">
                    <w:pPr>
                      <w:pStyle w:val="NoSpacing"/>
                      <w:rPr>
                        <w:rFonts w:asciiTheme="majorHAnsi" w:hAnsiTheme="majorHAnsi"/>
                        <w:color w:val="0F243E" w:themeColor="text2" w:themeShade="80"/>
                        <w:sz w:val="28"/>
                        <w:szCs w:val="28"/>
                        <w:lang w:val="ro-RO"/>
                      </w:rPr>
                    </w:pPr>
                    <w:r>
                      <w:rPr>
                        <w:rFonts w:asciiTheme="majorHAnsi" w:hAnsiTheme="majorHAnsi"/>
                        <w:b/>
                        <w:color w:val="0F243E" w:themeColor="text2" w:themeShade="80"/>
                        <w:sz w:val="28"/>
                        <w:szCs w:val="28"/>
                      </w:rPr>
                      <w:t>27.01.2015</w:t>
                    </w:r>
                  </w:p>
                </w:sdtContent>
              </w:sdt>
              <w:p w:rsidR="003717C1" w:rsidRPr="00985EBC" w:rsidRDefault="003717C1">
                <w:pPr>
                  <w:pStyle w:val="NoSpacing"/>
                  <w:rPr>
                    <w:color w:val="4F81BD" w:themeColor="accent1"/>
                    <w:sz w:val="28"/>
                    <w:szCs w:val="28"/>
                    <w:lang w:val="ro-RO"/>
                  </w:rPr>
                </w:pPr>
              </w:p>
            </w:tc>
          </w:tr>
        </w:tbl>
        <w:p w:rsidR="003717C1" w:rsidRPr="00985EBC" w:rsidRDefault="003717C1">
          <w:pPr>
            <w:rPr>
              <w:sz w:val="28"/>
              <w:szCs w:val="28"/>
              <w:lang w:val="ro-RO"/>
            </w:rPr>
          </w:pPr>
        </w:p>
        <w:tbl>
          <w:tblPr>
            <w:tblpPr w:leftFromText="187" w:rightFromText="187" w:vertAnchor="page" w:horzAnchor="margin" w:tblpXSpec="center" w:tblpY="4330"/>
            <w:tblW w:w="4349" w:type="pct"/>
            <w:tblBorders>
              <w:left w:val="single" w:sz="18" w:space="0" w:color="4F81BD" w:themeColor="accent1"/>
            </w:tblBorders>
            <w:tblLook w:val="04A0"/>
          </w:tblPr>
          <w:tblGrid>
            <w:gridCol w:w="8337"/>
          </w:tblGrid>
          <w:tr w:rsidR="003717C1" w:rsidRPr="00FF1EF8" w:rsidTr="00775942">
            <w:trPr>
              <w:trHeight w:val="1342"/>
            </w:trPr>
            <w:tc>
              <w:tcPr>
                <w:tcW w:w="8337" w:type="dxa"/>
                <w:tcMar>
                  <w:top w:w="216" w:type="dxa"/>
                  <w:left w:w="115" w:type="dxa"/>
                  <w:bottom w:w="216" w:type="dxa"/>
                  <w:right w:w="115" w:type="dxa"/>
                </w:tcMar>
              </w:tcPr>
              <w:p w:rsidR="003717C1" w:rsidRPr="00985EBC" w:rsidRDefault="003717C1" w:rsidP="001F70B3">
                <w:pPr>
                  <w:pStyle w:val="NoSpacing"/>
                  <w:rPr>
                    <w:rFonts w:asciiTheme="majorHAnsi" w:eastAsiaTheme="majorEastAsia" w:hAnsiTheme="majorHAnsi" w:cstheme="majorBidi"/>
                    <w:sz w:val="28"/>
                    <w:szCs w:val="28"/>
                    <w:lang w:val="ro-RO"/>
                  </w:rPr>
                </w:pPr>
              </w:p>
            </w:tc>
          </w:tr>
          <w:tr w:rsidR="003717C1" w:rsidRPr="00985EBC" w:rsidTr="00775942">
            <w:trPr>
              <w:trHeight w:val="4616"/>
            </w:trPr>
            <w:tc>
              <w:tcPr>
                <w:tcW w:w="8337" w:type="dxa"/>
                <w:vAlign w:val="center"/>
              </w:tcPr>
              <w:sdt>
                <w:sdtPr>
                  <w:rPr>
                    <w:rFonts w:asciiTheme="majorHAnsi" w:eastAsiaTheme="majorEastAsia" w:hAnsiTheme="majorHAnsi" w:cstheme="majorBidi"/>
                    <w:b/>
                    <w:color w:val="17365D" w:themeColor="text2" w:themeShade="BF"/>
                    <w:sz w:val="56"/>
                    <w:szCs w:val="56"/>
                    <w:lang w:val="ro-RO"/>
                  </w:rPr>
                  <w:alias w:val="Заголовок"/>
                  <w:id w:val="13406919"/>
                  <w:dataBinding w:prefixMappings="xmlns:ns0='http://schemas.openxmlformats.org/package/2006/metadata/core-properties' xmlns:ns1='http://purl.org/dc/elements/1.1/'" w:xpath="/ns0:coreProperties[1]/ns1:title[1]" w:storeItemID="{6C3C8BC8-F283-45AE-878A-BAB7291924A1}"/>
                  <w:text/>
                </w:sdtPr>
                <w:sdtContent>
                  <w:p w:rsidR="003717C1" w:rsidRPr="00985EBC" w:rsidRDefault="003717C1" w:rsidP="00775942">
                    <w:pPr>
                      <w:pStyle w:val="NoSpacing"/>
                      <w:rPr>
                        <w:rFonts w:asciiTheme="majorHAnsi" w:eastAsiaTheme="majorEastAsia" w:hAnsiTheme="majorHAnsi" w:cstheme="majorBidi"/>
                        <w:b/>
                        <w:color w:val="4F81BD" w:themeColor="accent1"/>
                        <w:sz w:val="28"/>
                        <w:szCs w:val="28"/>
                        <w:lang w:val="ro-RO"/>
                      </w:rPr>
                    </w:pPr>
                    <w:r w:rsidRPr="00985EBC">
                      <w:rPr>
                        <w:rFonts w:asciiTheme="majorHAnsi" w:eastAsiaTheme="majorEastAsia" w:hAnsiTheme="majorHAnsi" w:cstheme="majorBidi"/>
                        <w:b/>
                        <w:color w:val="17365D" w:themeColor="text2" w:themeShade="BF"/>
                        <w:sz w:val="56"/>
                        <w:szCs w:val="56"/>
                        <w:lang w:val="ro-RO"/>
                      </w:rPr>
                      <w:t xml:space="preserve">STUDIU </w:t>
                    </w:r>
                    <w:r w:rsidR="00775942" w:rsidRPr="00985EBC">
                      <w:rPr>
                        <w:rFonts w:asciiTheme="majorHAnsi" w:eastAsiaTheme="majorEastAsia" w:hAnsiTheme="majorHAnsi" w:cstheme="majorBidi"/>
                        <w:b/>
                        <w:color w:val="17365D" w:themeColor="text2" w:themeShade="BF"/>
                        <w:sz w:val="56"/>
                        <w:szCs w:val="56"/>
                        <w:lang w:val="ro-RO"/>
                      </w:rPr>
                      <w:t xml:space="preserve">                                   </w:t>
                    </w:r>
                    <w:r w:rsidRPr="00985EBC">
                      <w:rPr>
                        <w:rFonts w:asciiTheme="majorHAnsi" w:eastAsiaTheme="majorEastAsia" w:hAnsiTheme="majorHAnsi" w:cstheme="majorBidi"/>
                        <w:b/>
                        <w:color w:val="17365D" w:themeColor="text2" w:themeShade="BF"/>
                        <w:sz w:val="56"/>
                        <w:szCs w:val="56"/>
                        <w:lang w:val="ro-RO"/>
                      </w:rPr>
                      <w:t>PRIVIND EFICENŢA EXPERTIZEI PROIECTELOR DE ACTE NORMATIVE DIN PERSPECTIVA DREPTURILOR OMULUI</w:t>
                    </w:r>
                  </w:p>
                </w:sdtContent>
              </w:sdt>
            </w:tc>
          </w:tr>
          <w:tr w:rsidR="003717C1" w:rsidRPr="00985EBC" w:rsidTr="00775942">
            <w:tc>
              <w:tcPr>
                <w:tcW w:w="8337" w:type="dxa"/>
                <w:tcMar>
                  <w:top w:w="216" w:type="dxa"/>
                  <w:left w:w="115" w:type="dxa"/>
                  <w:bottom w:w="216" w:type="dxa"/>
                  <w:right w:w="115" w:type="dxa"/>
                </w:tcMar>
              </w:tcPr>
              <w:p w:rsidR="003717C1" w:rsidRPr="00985EBC" w:rsidRDefault="003717C1" w:rsidP="003717C1">
                <w:pPr>
                  <w:pStyle w:val="NoSpacing"/>
                  <w:rPr>
                    <w:rFonts w:asciiTheme="majorHAnsi" w:eastAsiaTheme="majorEastAsia" w:hAnsiTheme="majorHAnsi" w:cstheme="majorBidi"/>
                    <w:b/>
                    <w:sz w:val="28"/>
                    <w:szCs w:val="28"/>
                    <w:lang w:val="ro-RO"/>
                  </w:rPr>
                </w:pPr>
              </w:p>
            </w:tc>
          </w:tr>
        </w:tbl>
        <w:p w:rsidR="003717C1" w:rsidRPr="00985EBC" w:rsidRDefault="003717C1">
          <w:pPr>
            <w:rPr>
              <w:rFonts w:asciiTheme="majorHAnsi" w:hAnsiTheme="majorHAnsi"/>
              <w:sz w:val="28"/>
              <w:szCs w:val="28"/>
              <w:lang w:val="ro-RO"/>
            </w:rPr>
          </w:pPr>
          <w:r w:rsidRPr="00985EBC">
            <w:rPr>
              <w:rFonts w:asciiTheme="majorHAnsi" w:hAnsiTheme="majorHAnsi"/>
              <w:sz w:val="28"/>
              <w:szCs w:val="28"/>
              <w:lang w:val="ro-RO"/>
            </w:rPr>
            <w:t xml:space="preserve"> </w:t>
          </w:r>
          <w:r w:rsidRPr="00985EBC">
            <w:rPr>
              <w:rFonts w:asciiTheme="majorHAnsi" w:hAnsiTheme="majorHAnsi"/>
              <w:sz w:val="28"/>
              <w:szCs w:val="28"/>
              <w:lang w:val="ro-RO"/>
            </w:rPr>
            <w:br w:type="page"/>
          </w:r>
        </w:p>
      </w:sdtContent>
    </w:sdt>
    <w:p w:rsidR="00E45506" w:rsidRPr="00985EBC" w:rsidRDefault="00E45506">
      <w:pPr>
        <w:rPr>
          <w:rFonts w:asciiTheme="majorHAnsi" w:hAnsiTheme="majorHAnsi"/>
          <w:sz w:val="24"/>
          <w:szCs w:val="24"/>
          <w:lang w:val="ro-RO"/>
        </w:rPr>
      </w:pPr>
    </w:p>
    <w:p w:rsidR="00343F61" w:rsidRPr="001F70B3" w:rsidRDefault="001F70B3" w:rsidP="001F70B3">
      <w:pPr>
        <w:pStyle w:val="NoSpacing"/>
        <w:jc w:val="center"/>
        <w:rPr>
          <w:rFonts w:asciiTheme="majorHAnsi" w:hAnsiTheme="majorHAnsi"/>
          <w:sz w:val="24"/>
          <w:szCs w:val="24"/>
          <w:lang w:val="ro-RO"/>
        </w:rPr>
      </w:pPr>
      <w:r w:rsidRPr="001F70B3">
        <w:rPr>
          <w:rFonts w:asciiTheme="majorHAnsi" w:hAnsiTheme="majorHAnsi"/>
          <w:sz w:val="24"/>
          <w:szCs w:val="24"/>
          <w:lang w:val="ro-RO"/>
        </w:rPr>
        <w:t xml:space="preserve">Acest </w:t>
      </w:r>
      <w:r w:rsidR="00343F61" w:rsidRPr="001F70B3">
        <w:rPr>
          <w:rFonts w:asciiTheme="majorHAnsi" w:hAnsiTheme="majorHAnsi"/>
          <w:sz w:val="24"/>
          <w:szCs w:val="24"/>
          <w:lang w:val="ro-RO"/>
        </w:rPr>
        <w:t>Studiu a fost realizat</w:t>
      </w:r>
      <w:r w:rsidRPr="001F70B3">
        <w:rPr>
          <w:rFonts w:asciiTheme="majorHAnsi" w:hAnsiTheme="majorHAnsi"/>
          <w:sz w:val="24"/>
          <w:szCs w:val="24"/>
          <w:lang w:val="ro-RO"/>
        </w:rPr>
        <w:t xml:space="preserve"> </w:t>
      </w:r>
      <w:r w:rsidR="00343F61" w:rsidRPr="001F70B3">
        <w:rPr>
          <w:rFonts w:asciiTheme="majorHAnsi" w:hAnsiTheme="majorHAnsi"/>
          <w:sz w:val="24"/>
          <w:szCs w:val="24"/>
          <w:lang w:val="ro-RO"/>
        </w:rPr>
        <w:t>în cadrul Proiectului</w:t>
      </w:r>
      <w:r w:rsidRPr="001F70B3">
        <w:rPr>
          <w:rFonts w:asciiTheme="majorHAnsi" w:hAnsiTheme="majorHAnsi"/>
          <w:sz w:val="24"/>
          <w:szCs w:val="24"/>
          <w:lang w:val="ro-RO"/>
        </w:rPr>
        <w:t xml:space="preserve"> „Armonizarea legislaţiei la standardele internaţionale în domeniul drepturilor omului</w:t>
      </w:r>
      <w:r w:rsidR="00343F61" w:rsidRPr="001F70B3">
        <w:rPr>
          <w:rFonts w:asciiTheme="majorHAnsi" w:hAnsiTheme="majorHAnsi"/>
          <w:sz w:val="24"/>
          <w:szCs w:val="24"/>
          <w:lang w:val="ro-RO"/>
        </w:rPr>
        <w:t>”, implementat de Centrul de Analiză şi Prevenire a Corupţiei, cu suportul</w:t>
      </w:r>
      <w:r w:rsidRPr="001F70B3">
        <w:rPr>
          <w:rFonts w:asciiTheme="majorHAnsi" w:hAnsiTheme="majorHAnsi"/>
          <w:sz w:val="24"/>
          <w:szCs w:val="24"/>
          <w:lang w:val="ro-RO"/>
        </w:rPr>
        <w:t xml:space="preserve"> Apărătorilor Drepturilor Civile din Suedia</w:t>
      </w:r>
      <w:r w:rsidR="00343F61" w:rsidRPr="001F70B3">
        <w:rPr>
          <w:rFonts w:asciiTheme="majorHAnsi" w:hAnsiTheme="majorHAnsi"/>
          <w:sz w:val="24"/>
          <w:szCs w:val="24"/>
          <w:lang w:val="ro-RO"/>
        </w:rPr>
        <w:t>.</w:t>
      </w: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Pr="001F70B3" w:rsidRDefault="001F70B3" w:rsidP="00343F61">
      <w:pPr>
        <w:pStyle w:val="NoSpacing"/>
        <w:jc w:val="both"/>
        <w:rPr>
          <w:rFonts w:asciiTheme="majorHAnsi" w:hAnsiTheme="majorHAnsi"/>
          <w:sz w:val="24"/>
          <w:szCs w:val="24"/>
          <w:lang w:val="ro-RO"/>
        </w:rPr>
      </w:pPr>
      <w:r w:rsidRPr="001F70B3">
        <w:rPr>
          <w:rFonts w:asciiTheme="majorHAnsi" w:hAnsiTheme="majorHAnsi"/>
          <w:sz w:val="24"/>
          <w:szCs w:val="24"/>
          <w:lang w:val="ro-RO"/>
        </w:rPr>
        <w:t>Experţii CAPC care au contribuit prin activitatea lor de expertiză a proiectelor actelor legislative la întocmirea Studiului</w:t>
      </w:r>
      <w:r w:rsidR="00343F61" w:rsidRPr="001F70B3">
        <w:rPr>
          <w:rFonts w:asciiTheme="majorHAnsi" w:hAnsiTheme="majorHAnsi"/>
          <w:sz w:val="24"/>
          <w:szCs w:val="24"/>
          <w:lang w:val="ro-RO"/>
        </w:rPr>
        <w:t>:</w:t>
      </w:r>
    </w:p>
    <w:p w:rsidR="001F70B3" w:rsidRDefault="001F70B3" w:rsidP="00343F61">
      <w:pPr>
        <w:pStyle w:val="NoSpacing"/>
        <w:jc w:val="both"/>
        <w:rPr>
          <w:rFonts w:asciiTheme="majorHAnsi" w:hAnsiTheme="majorHAnsi"/>
          <w:sz w:val="24"/>
          <w:szCs w:val="24"/>
          <w:lang w:val="ro-RO"/>
        </w:rPr>
      </w:pPr>
    </w:p>
    <w:p w:rsidR="00343F61" w:rsidRPr="00AA0961" w:rsidRDefault="00AA0961" w:rsidP="00343F61">
      <w:pPr>
        <w:pStyle w:val="NoSpacing"/>
        <w:jc w:val="both"/>
        <w:rPr>
          <w:rFonts w:asciiTheme="majorHAnsi" w:hAnsiTheme="majorHAnsi"/>
          <w:sz w:val="24"/>
          <w:szCs w:val="24"/>
          <w:lang w:val="ro-RO"/>
        </w:rPr>
      </w:pPr>
      <w:r w:rsidRPr="00AA0961">
        <w:rPr>
          <w:rFonts w:asciiTheme="majorHAnsi" w:hAnsiTheme="majorHAnsi"/>
          <w:sz w:val="24"/>
          <w:szCs w:val="24"/>
          <w:lang w:val="ro-RO"/>
        </w:rPr>
        <w:t xml:space="preserve">BOSTAN </w:t>
      </w:r>
      <w:r w:rsidR="00343F61" w:rsidRPr="00AA0961">
        <w:rPr>
          <w:rFonts w:asciiTheme="majorHAnsi" w:hAnsiTheme="majorHAnsi"/>
          <w:sz w:val="24"/>
          <w:szCs w:val="24"/>
          <w:lang w:val="ro-RO"/>
        </w:rPr>
        <w:t xml:space="preserve">Galina </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ro-RO"/>
        </w:rPr>
        <w:t>BÎCU Adelina</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fr-FR"/>
        </w:rPr>
        <w:t>BESCHIERU Ion</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fr-FR"/>
        </w:rPr>
        <w:t>BUDECI Vitalie</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fr-FR"/>
        </w:rPr>
        <w:t>IONITA Lilia</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en-US"/>
        </w:rPr>
        <w:t>IUDIN Gheorghe</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en-US"/>
        </w:rPr>
        <w:t>JIGAU Radu</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en-US"/>
        </w:rPr>
        <w:t>KALUGHIN Mariana</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en-US"/>
        </w:rPr>
        <w:t>PAGONI Domnita</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en-US"/>
        </w:rPr>
        <w:t>PAVLOV Steluta</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en-US"/>
        </w:rPr>
        <w:t>PIRVAN Viorel</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en-US"/>
        </w:rPr>
        <w:t>RUSU Iulian</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en-US"/>
        </w:rPr>
        <w:t>UTICA Oleg</w:t>
      </w:r>
    </w:p>
    <w:p w:rsidR="00AA0961" w:rsidRPr="00AA0961" w:rsidRDefault="00AA0961" w:rsidP="00343F61">
      <w:pPr>
        <w:pStyle w:val="NoSpacing"/>
        <w:jc w:val="both"/>
        <w:rPr>
          <w:rFonts w:asciiTheme="majorHAnsi" w:hAnsiTheme="majorHAnsi"/>
          <w:sz w:val="24"/>
          <w:szCs w:val="24"/>
          <w:lang w:val="ro-RO"/>
        </w:rPr>
      </w:pPr>
      <w:r w:rsidRPr="00F71666">
        <w:rPr>
          <w:rFonts w:asciiTheme="majorHAnsi" w:hAnsiTheme="majorHAnsi"/>
          <w:sz w:val="24"/>
          <w:szCs w:val="24"/>
          <w:lang w:val="fr-FR"/>
        </w:rPr>
        <w:t>ZAMA Vitalie</w:t>
      </w:r>
    </w:p>
    <w:p w:rsidR="00343F61" w:rsidRPr="00D17859" w:rsidRDefault="00343F61" w:rsidP="00343F61">
      <w:pPr>
        <w:pStyle w:val="NoSpacing"/>
        <w:jc w:val="both"/>
        <w:rPr>
          <w:lang w:val="ro-RO"/>
        </w:rPr>
      </w:pPr>
    </w:p>
    <w:p w:rsidR="00343F61" w:rsidRDefault="00343F61" w:rsidP="00343F61">
      <w:pPr>
        <w:pStyle w:val="NoSpacing"/>
        <w:jc w:val="both"/>
        <w:rPr>
          <w:i/>
          <w:lang w:val="ro-RO"/>
        </w:rPr>
      </w:pPr>
    </w:p>
    <w:p w:rsidR="00343F61" w:rsidRPr="00D17859" w:rsidRDefault="00343F61" w:rsidP="00343F61">
      <w:pPr>
        <w:pStyle w:val="NoSpacing"/>
        <w:jc w:val="both"/>
        <w:rPr>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Default="00343F61" w:rsidP="00343F61">
      <w:pPr>
        <w:pStyle w:val="NoSpacing"/>
        <w:jc w:val="both"/>
        <w:rPr>
          <w:i/>
          <w:lang w:val="ro-RO"/>
        </w:rPr>
      </w:pPr>
    </w:p>
    <w:p w:rsidR="00343F61" w:rsidRPr="001F70B3" w:rsidRDefault="00343F61" w:rsidP="00343F61">
      <w:pPr>
        <w:pStyle w:val="NoSpacing"/>
        <w:jc w:val="both"/>
        <w:rPr>
          <w:rFonts w:ascii="Cambria" w:hAnsi="Cambria" w:cs="Arial"/>
          <w:sz w:val="24"/>
          <w:szCs w:val="24"/>
          <w:lang w:val="ro-RO"/>
        </w:rPr>
      </w:pPr>
    </w:p>
    <w:p w:rsidR="00343F61" w:rsidRPr="001F70B3" w:rsidRDefault="00343F61" w:rsidP="00343F61">
      <w:pPr>
        <w:pStyle w:val="NoSpacing"/>
        <w:jc w:val="both"/>
        <w:rPr>
          <w:rFonts w:ascii="Cambria" w:hAnsi="Cambria" w:cs="Arial"/>
          <w:sz w:val="24"/>
          <w:szCs w:val="24"/>
          <w:lang w:val="ro-RO"/>
        </w:rPr>
      </w:pPr>
      <w:r w:rsidRPr="001F70B3">
        <w:rPr>
          <w:rFonts w:ascii="Cambria" w:hAnsi="Cambria" w:cs="Arial"/>
          <w:sz w:val="24"/>
          <w:szCs w:val="24"/>
          <w:lang w:val="ro-RO"/>
        </w:rPr>
        <w:t> </w:t>
      </w:r>
    </w:p>
    <w:p w:rsidR="001F70B3" w:rsidRPr="001F70B3" w:rsidRDefault="00343F61" w:rsidP="001F70B3">
      <w:pPr>
        <w:jc w:val="center"/>
        <w:rPr>
          <w:rFonts w:ascii="Cambria" w:eastAsia="Calibri" w:hAnsi="Cambria" w:cs="Arial"/>
          <w:sz w:val="24"/>
          <w:szCs w:val="24"/>
          <w:lang w:val="ro-RO"/>
        </w:rPr>
      </w:pPr>
      <w:r w:rsidRPr="001F70B3">
        <w:rPr>
          <w:rFonts w:ascii="Cambria" w:hAnsi="Cambria" w:cs="Arial"/>
          <w:sz w:val="24"/>
          <w:szCs w:val="24"/>
          <w:lang w:val="ro-RO"/>
        </w:rPr>
        <w:t xml:space="preserve">Toate drepturile sunt rezervate Asociaţiei Obşteşti „Centrul de Analiză şi Prevenire a Corupţiei” (CAPC). </w:t>
      </w:r>
      <w:r w:rsidR="001F70B3">
        <w:rPr>
          <w:rFonts w:ascii="Cambria" w:hAnsi="Cambria" w:cs="Arial"/>
          <w:sz w:val="24"/>
          <w:szCs w:val="24"/>
          <w:lang w:val="ro-RO"/>
        </w:rPr>
        <w:t xml:space="preserve"> </w:t>
      </w:r>
      <w:r w:rsidR="001F70B3" w:rsidRPr="001F70B3">
        <w:rPr>
          <w:rFonts w:ascii="Cambria" w:eastAsia="Calibri" w:hAnsi="Cambria" w:cs="Arial"/>
          <w:sz w:val="24"/>
          <w:szCs w:val="24"/>
          <w:lang w:val="ro-RO"/>
        </w:rPr>
        <w:t>Opiniile expuse în aceasta lucrare aparţin autorilor şi</w:t>
      </w:r>
      <w:r w:rsidR="001F70B3" w:rsidRPr="001F70B3">
        <w:rPr>
          <w:rFonts w:ascii="Cambria" w:eastAsia="Calibri" w:hAnsi="Cambria" w:cs="Arial"/>
          <w:color w:val="C0504D"/>
          <w:sz w:val="24"/>
          <w:szCs w:val="24"/>
          <w:lang w:val="ro-RO"/>
        </w:rPr>
        <w:t xml:space="preserve"> </w:t>
      </w:r>
      <w:r w:rsidR="001F70B3" w:rsidRPr="001F70B3">
        <w:rPr>
          <w:rFonts w:ascii="Cambria" w:eastAsia="Calibri" w:hAnsi="Cambria" w:cs="Arial"/>
          <w:sz w:val="24"/>
          <w:szCs w:val="24"/>
          <w:lang w:val="ro-RO"/>
        </w:rPr>
        <w:t>nu reflectă în mod obligatoriu punctul de vedere oficial al Apărătorilor Drepturilor Civile din Suedia.</w:t>
      </w:r>
    </w:p>
    <w:p w:rsidR="00343F61" w:rsidRPr="00EA7235" w:rsidRDefault="00343F61" w:rsidP="001F70B3">
      <w:pPr>
        <w:pStyle w:val="NoSpacing"/>
        <w:jc w:val="both"/>
        <w:rPr>
          <w:lang w:val="ro-RO"/>
        </w:rPr>
      </w:pPr>
    </w:p>
    <w:p w:rsidR="004316F0" w:rsidRDefault="008372DF" w:rsidP="004316F0">
      <w:pPr>
        <w:pStyle w:val="Heading1"/>
        <w:jc w:val="center"/>
        <w:rPr>
          <w:lang w:val="ro-RO"/>
        </w:rPr>
      </w:pPr>
      <w:bookmarkStart w:id="0" w:name="_Toc409457691"/>
      <w:bookmarkStart w:id="1" w:name="_Toc409790608"/>
      <w:r>
        <w:rPr>
          <w:lang w:val="ro-RO"/>
        </w:rPr>
        <w:lastRenderedPageBreak/>
        <w:t>C</w:t>
      </w:r>
      <w:r w:rsidR="004316F0">
        <w:rPr>
          <w:lang w:val="ro-RO"/>
        </w:rPr>
        <w:t>UPRINS:</w:t>
      </w:r>
      <w:bookmarkEnd w:id="0"/>
      <w:bookmarkEnd w:id="1"/>
    </w:p>
    <w:sdt>
      <w:sdtPr>
        <w:id w:val="2294623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8372DF" w:rsidRPr="008372DF" w:rsidRDefault="008372DF" w:rsidP="008372DF">
          <w:pPr>
            <w:pStyle w:val="TOCHeading"/>
            <w:rPr>
              <w:rFonts w:eastAsiaTheme="minorEastAsia"/>
              <w:noProof/>
              <w:lang w:val="ro-RO" w:eastAsia="ru-RU"/>
            </w:rPr>
          </w:pPr>
          <w:r>
            <w:fldChar w:fldCharType="begin"/>
          </w:r>
          <w:r>
            <w:instrText xml:space="preserve"> TOC \o "1-3" \h \z \u </w:instrText>
          </w:r>
          <w:r>
            <w:fldChar w:fldCharType="separate"/>
          </w:r>
          <w:hyperlink w:anchor="_Toc409790608" w:history="1"/>
        </w:p>
        <w:p w:rsidR="008372DF" w:rsidRDefault="008372DF">
          <w:pPr>
            <w:pStyle w:val="TOC1"/>
            <w:tabs>
              <w:tab w:val="right" w:leader="dot" w:pos="9345"/>
            </w:tabs>
            <w:rPr>
              <w:rFonts w:eastAsiaTheme="minorEastAsia"/>
              <w:noProof/>
              <w:lang w:eastAsia="ru-RU"/>
            </w:rPr>
          </w:pPr>
          <w:hyperlink w:anchor="_Toc409790609" w:history="1">
            <w:r w:rsidRPr="00D6763F">
              <w:rPr>
                <w:rStyle w:val="Hyperlink"/>
                <w:noProof/>
                <w:lang w:val="ro-RO"/>
              </w:rPr>
              <w:t>LISTA ABREVIERILOR:</w:t>
            </w:r>
            <w:r>
              <w:rPr>
                <w:noProof/>
                <w:webHidden/>
              </w:rPr>
              <w:tab/>
            </w:r>
            <w:r>
              <w:rPr>
                <w:noProof/>
                <w:webHidden/>
              </w:rPr>
              <w:fldChar w:fldCharType="begin"/>
            </w:r>
            <w:r>
              <w:rPr>
                <w:noProof/>
                <w:webHidden/>
              </w:rPr>
              <w:instrText xml:space="preserve"> PAGEREF _Toc409790609 \h </w:instrText>
            </w:r>
            <w:r>
              <w:rPr>
                <w:noProof/>
                <w:webHidden/>
              </w:rPr>
            </w:r>
            <w:r>
              <w:rPr>
                <w:noProof/>
                <w:webHidden/>
              </w:rPr>
              <w:fldChar w:fldCharType="separate"/>
            </w:r>
            <w:r>
              <w:rPr>
                <w:noProof/>
                <w:webHidden/>
              </w:rPr>
              <w:t>5</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0" w:history="1">
            <w:r w:rsidRPr="00D6763F">
              <w:rPr>
                <w:rStyle w:val="Hyperlink"/>
                <w:noProof/>
                <w:lang w:val="ro-RO"/>
              </w:rPr>
              <w:t xml:space="preserve">I. </w:t>
            </w:r>
            <w:r w:rsidRPr="00D6763F">
              <w:rPr>
                <w:rStyle w:val="Hyperlink"/>
                <w:noProof/>
              </w:rPr>
              <w:t>CONSIDERAŢII</w:t>
            </w:r>
            <w:r w:rsidRPr="00D6763F">
              <w:rPr>
                <w:rStyle w:val="Hyperlink"/>
                <w:noProof/>
                <w:lang w:val="ro-RO"/>
              </w:rPr>
              <w:t xml:space="preserve"> GENERALE</w:t>
            </w:r>
            <w:r>
              <w:rPr>
                <w:noProof/>
                <w:webHidden/>
              </w:rPr>
              <w:tab/>
            </w:r>
            <w:r>
              <w:rPr>
                <w:noProof/>
                <w:webHidden/>
              </w:rPr>
              <w:fldChar w:fldCharType="begin"/>
            </w:r>
            <w:r>
              <w:rPr>
                <w:noProof/>
                <w:webHidden/>
              </w:rPr>
              <w:instrText xml:space="preserve"> PAGEREF _Toc409790610 \h </w:instrText>
            </w:r>
            <w:r>
              <w:rPr>
                <w:noProof/>
                <w:webHidden/>
              </w:rPr>
            </w:r>
            <w:r>
              <w:rPr>
                <w:noProof/>
                <w:webHidden/>
              </w:rPr>
              <w:fldChar w:fldCharType="separate"/>
            </w:r>
            <w:r>
              <w:rPr>
                <w:noProof/>
                <w:webHidden/>
              </w:rPr>
              <w:t>6</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1" w:history="1">
            <w:r w:rsidRPr="00D6763F">
              <w:rPr>
                <w:rStyle w:val="Hyperlink"/>
                <w:noProof/>
                <w:lang w:val="ro-RO"/>
              </w:rPr>
              <w:t>I.1</w:t>
            </w:r>
            <w:r w:rsidR="00851FE5">
              <w:rPr>
                <w:rStyle w:val="Hyperlink"/>
                <w:noProof/>
                <w:lang w:val="ro-RO"/>
              </w:rPr>
              <w:t>.</w:t>
            </w:r>
            <w:r w:rsidRPr="00D6763F">
              <w:rPr>
                <w:rStyle w:val="Hyperlink"/>
                <w:noProof/>
                <w:lang w:val="ro-RO"/>
              </w:rPr>
              <w:t xml:space="preserve"> Premisele expertizei legislaţiei din perspectiva drepturilor omului</w:t>
            </w:r>
            <w:r>
              <w:rPr>
                <w:noProof/>
                <w:webHidden/>
              </w:rPr>
              <w:tab/>
            </w:r>
            <w:r>
              <w:rPr>
                <w:noProof/>
                <w:webHidden/>
              </w:rPr>
              <w:fldChar w:fldCharType="begin"/>
            </w:r>
            <w:r>
              <w:rPr>
                <w:noProof/>
                <w:webHidden/>
              </w:rPr>
              <w:instrText xml:space="preserve"> PAGEREF _Toc409790611 \h </w:instrText>
            </w:r>
            <w:r>
              <w:rPr>
                <w:noProof/>
                <w:webHidden/>
              </w:rPr>
            </w:r>
            <w:r>
              <w:rPr>
                <w:noProof/>
                <w:webHidden/>
              </w:rPr>
              <w:fldChar w:fldCharType="separate"/>
            </w:r>
            <w:r>
              <w:rPr>
                <w:noProof/>
                <w:webHidden/>
              </w:rPr>
              <w:t>6</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2" w:history="1">
            <w:r w:rsidRPr="00D6763F">
              <w:rPr>
                <w:rStyle w:val="Hyperlink"/>
                <w:noProof/>
                <w:lang w:val="ro-RO"/>
              </w:rPr>
              <w:t>I.2</w:t>
            </w:r>
            <w:r w:rsidR="00851FE5">
              <w:rPr>
                <w:rStyle w:val="Hyperlink"/>
                <w:noProof/>
                <w:lang w:val="ro-RO"/>
              </w:rPr>
              <w:t>.</w:t>
            </w:r>
            <w:r w:rsidRPr="00D6763F">
              <w:rPr>
                <w:rStyle w:val="Hyperlink"/>
                <w:noProof/>
                <w:lang w:val="ro-RO"/>
              </w:rPr>
              <w:t xml:space="preserve"> Proiectul „Armonizarea legislaţiei la standardele internaţionale în domeniul drepturilor omului”</w:t>
            </w:r>
            <w:r>
              <w:rPr>
                <w:noProof/>
                <w:webHidden/>
              </w:rPr>
              <w:tab/>
            </w:r>
            <w:r>
              <w:rPr>
                <w:noProof/>
                <w:webHidden/>
              </w:rPr>
              <w:fldChar w:fldCharType="begin"/>
            </w:r>
            <w:r>
              <w:rPr>
                <w:noProof/>
                <w:webHidden/>
              </w:rPr>
              <w:instrText xml:space="preserve"> PAGEREF _Toc409790612 \h </w:instrText>
            </w:r>
            <w:r>
              <w:rPr>
                <w:noProof/>
                <w:webHidden/>
              </w:rPr>
            </w:r>
            <w:r>
              <w:rPr>
                <w:noProof/>
                <w:webHidden/>
              </w:rPr>
              <w:fldChar w:fldCharType="separate"/>
            </w:r>
            <w:r>
              <w:rPr>
                <w:noProof/>
                <w:webHidden/>
              </w:rPr>
              <w:t>7</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3" w:history="1">
            <w:r w:rsidRPr="00D6763F">
              <w:rPr>
                <w:rStyle w:val="Hyperlink"/>
                <w:noProof/>
                <w:lang w:val="ro-RO"/>
              </w:rPr>
              <w:t>II. INSTRUMENTELE DE EFECTUARE A EXPERTIZEI LEGISLAŢIEI DIN PERSPECTIVA DREPTURILOR OMULUI</w:t>
            </w:r>
            <w:r>
              <w:rPr>
                <w:noProof/>
                <w:webHidden/>
              </w:rPr>
              <w:tab/>
            </w:r>
            <w:r>
              <w:rPr>
                <w:noProof/>
                <w:webHidden/>
              </w:rPr>
              <w:fldChar w:fldCharType="begin"/>
            </w:r>
            <w:r>
              <w:rPr>
                <w:noProof/>
                <w:webHidden/>
              </w:rPr>
              <w:instrText xml:space="preserve"> PAGEREF _Toc409790613 \h </w:instrText>
            </w:r>
            <w:r>
              <w:rPr>
                <w:noProof/>
                <w:webHidden/>
              </w:rPr>
            </w:r>
            <w:r>
              <w:rPr>
                <w:noProof/>
                <w:webHidden/>
              </w:rPr>
              <w:fldChar w:fldCharType="separate"/>
            </w:r>
            <w:r>
              <w:rPr>
                <w:noProof/>
                <w:webHidden/>
              </w:rPr>
              <w:t>7</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4" w:history="1">
            <w:r w:rsidRPr="00D6763F">
              <w:rPr>
                <w:rStyle w:val="Hyperlink"/>
                <w:noProof/>
                <w:lang w:val="ro-RO"/>
              </w:rPr>
              <w:t>II.1</w:t>
            </w:r>
            <w:r w:rsidR="00851FE5">
              <w:rPr>
                <w:rStyle w:val="Hyperlink"/>
                <w:noProof/>
                <w:lang w:val="ro-RO"/>
              </w:rPr>
              <w:t>.</w:t>
            </w:r>
            <w:r w:rsidRPr="00D6763F">
              <w:rPr>
                <w:rStyle w:val="Hyperlink"/>
                <w:noProof/>
                <w:lang w:val="ro-RO"/>
              </w:rPr>
              <w:t xml:space="preserve"> Ghidul pentru efectuarea expertizei vulnerabilităţii proiectelor de acte normative prin prisma drepturilor omului şi egalităţii gender</w:t>
            </w:r>
            <w:r>
              <w:rPr>
                <w:noProof/>
                <w:webHidden/>
              </w:rPr>
              <w:tab/>
            </w:r>
            <w:r>
              <w:rPr>
                <w:noProof/>
                <w:webHidden/>
              </w:rPr>
              <w:fldChar w:fldCharType="begin"/>
            </w:r>
            <w:r>
              <w:rPr>
                <w:noProof/>
                <w:webHidden/>
              </w:rPr>
              <w:instrText xml:space="preserve"> PAGEREF _Toc409790614 \h </w:instrText>
            </w:r>
            <w:r>
              <w:rPr>
                <w:noProof/>
                <w:webHidden/>
              </w:rPr>
            </w:r>
            <w:r>
              <w:rPr>
                <w:noProof/>
                <w:webHidden/>
              </w:rPr>
              <w:fldChar w:fldCharType="separate"/>
            </w:r>
            <w:r>
              <w:rPr>
                <w:noProof/>
                <w:webHidden/>
              </w:rPr>
              <w:t>8</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5" w:history="1">
            <w:r w:rsidRPr="00D6763F">
              <w:rPr>
                <w:rStyle w:val="Hyperlink"/>
                <w:noProof/>
                <w:lang w:val="ro-RO"/>
              </w:rPr>
              <w:t>II.2</w:t>
            </w:r>
            <w:r w:rsidR="00851FE5">
              <w:rPr>
                <w:rStyle w:val="Hyperlink"/>
                <w:noProof/>
                <w:lang w:val="ro-RO"/>
              </w:rPr>
              <w:t>.</w:t>
            </w:r>
            <w:r w:rsidRPr="00D6763F">
              <w:rPr>
                <w:rStyle w:val="Hyperlink"/>
                <w:noProof/>
                <w:lang w:val="ro-RO"/>
              </w:rPr>
              <w:t xml:space="preserve"> E-template de efectuare a expertizei legislaţiei din perspectiva drepturilor omului</w:t>
            </w:r>
            <w:r>
              <w:rPr>
                <w:noProof/>
                <w:webHidden/>
              </w:rPr>
              <w:tab/>
            </w:r>
            <w:r>
              <w:rPr>
                <w:noProof/>
                <w:webHidden/>
              </w:rPr>
              <w:fldChar w:fldCharType="begin"/>
            </w:r>
            <w:r>
              <w:rPr>
                <w:noProof/>
                <w:webHidden/>
              </w:rPr>
              <w:instrText xml:space="preserve"> PAGEREF _Toc409790615 \h </w:instrText>
            </w:r>
            <w:r>
              <w:rPr>
                <w:noProof/>
                <w:webHidden/>
              </w:rPr>
            </w:r>
            <w:r>
              <w:rPr>
                <w:noProof/>
                <w:webHidden/>
              </w:rPr>
              <w:fldChar w:fldCharType="separate"/>
            </w:r>
            <w:r>
              <w:rPr>
                <w:noProof/>
                <w:webHidden/>
              </w:rPr>
              <w:t>9</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6" w:history="1">
            <w:r w:rsidRPr="00D6763F">
              <w:rPr>
                <w:rStyle w:val="Hyperlink"/>
                <w:noProof/>
                <w:lang w:val="ro-RO"/>
              </w:rPr>
              <w:t>III. MONITORIZAREA PROCESULUI DE CREAŢIE LEGISLATIVĂ DIN PERSPECTIVA DREPTURILOR OMULUI</w:t>
            </w:r>
            <w:r>
              <w:rPr>
                <w:noProof/>
                <w:webHidden/>
              </w:rPr>
              <w:tab/>
            </w:r>
            <w:r>
              <w:rPr>
                <w:noProof/>
                <w:webHidden/>
              </w:rPr>
              <w:fldChar w:fldCharType="begin"/>
            </w:r>
            <w:r>
              <w:rPr>
                <w:noProof/>
                <w:webHidden/>
              </w:rPr>
              <w:instrText xml:space="preserve"> PAGEREF _Toc409790616 \h </w:instrText>
            </w:r>
            <w:r>
              <w:rPr>
                <w:noProof/>
                <w:webHidden/>
              </w:rPr>
            </w:r>
            <w:r>
              <w:rPr>
                <w:noProof/>
                <w:webHidden/>
              </w:rPr>
              <w:fldChar w:fldCharType="separate"/>
            </w:r>
            <w:r>
              <w:rPr>
                <w:noProof/>
                <w:webHidden/>
              </w:rPr>
              <w:t>11</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7" w:history="1">
            <w:r w:rsidRPr="00D6763F">
              <w:rPr>
                <w:rStyle w:val="Hyperlink"/>
                <w:noProof/>
                <w:lang w:val="ro-RO"/>
              </w:rPr>
              <w:t>III.1</w:t>
            </w:r>
            <w:r w:rsidR="00851FE5">
              <w:rPr>
                <w:rStyle w:val="Hyperlink"/>
                <w:noProof/>
                <w:lang w:val="ro-RO"/>
              </w:rPr>
              <w:t>.</w:t>
            </w:r>
            <w:r w:rsidRPr="00D6763F">
              <w:rPr>
                <w:rStyle w:val="Hyperlink"/>
                <w:noProof/>
                <w:lang w:val="ro-RO"/>
              </w:rPr>
              <w:t xml:space="preserve"> Eşantionul de realizare a Studiului</w:t>
            </w:r>
            <w:r>
              <w:rPr>
                <w:noProof/>
                <w:webHidden/>
              </w:rPr>
              <w:tab/>
            </w:r>
            <w:r>
              <w:rPr>
                <w:noProof/>
                <w:webHidden/>
              </w:rPr>
              <w:fldChar w:fldCharType="begin"/>
            </w:r>
            <w:r>
              <w:rPr>
                <w:noProof/>
                <w:webHidden/>
              </w:rPr>
              <w:instrText xml:space="preserve"> PAGEREF _Toc409790617 \h </w:instrText>
            </w:r>
            <w:r>
              <w:rPr>
                <w:noProof/>
                <w:webHidden/>
              </w:rPr>
            </w:r>
            <w:r>
              <w:rPr>
                <w:noProof/>
                <w:webHidden/>
              </w:rPr>
              <w:fldChar w:fldCharType="separate"/>
            </w:r>
            <w:r>
              <w:rPr>
                <w:noProof/>
                <w:webHidden/>
              </w:rPr>
              <w:t>12</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8" w:history="1">
            <w:r w:rsidR="00851FE5">
              <w:rPr>
                <w:rStyle w:val="Hyperlink"/>
                <w:noProof/>
                <w:lang w:val="ro-RO"/>
              </w:rPr>
              <w:t xml:space="preserve">III.2. </w:t>
            </w:r>
            <w:r w:rsidRPr="00D6763F">
              <w:rPr>
                <w:rStyle w:val="Hyperlink"/>
                <w:noProof/>
                <w:lang w:val="ro-RO"/>
              </w:rPr>
              <w:t>Proiecte de acte normative vs. domenii de expertiză</w:t>
            </w:r>
            <w:r>
              <w:rPr>
                <w:noProof/>
                <w:webHidden/>
              </w:rPr>
              <w:tab/>
            </w:r>
            <w:r>
              <w:rPr>
                <w:noProof/>
                <w:webHidden/>
              </w:rPr>
              <w:fldChar w:fldCharType="begin"/>
            </w:r>
            <w:r>
              <w:rPr>
                <w:noProof/>
                <w:webHidden/>
              </w:rPr>
              <w:instrText xml:space="preserve"> PAGEREF _Toc409790618 \h </w:instrText>
            </w:r>
            <w:r>
              <w:rPr>
                <w:noProof/>
                <w:webHidden/>
              </w:rPr>
            </w:r>
            <w:r>
              <w:rPr>
                <w:noProof/>
                <w:webHidden/>
              </w:rPr>
              <w:fldChar w:fldCharType="separate"/>
            </w:r>
            <w:r>
              <w:rPr>
                <w:noProof/>
                <w:webHidden/>
              </w:rPr>
              <w:t>12</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19" w:history="1">
            <w:r w:rsidRPr="00D6763F">
              <w:rPr>
                <w:rStyle w:val="Hyperlink"/>
                <w:noProof/>
                <w:lang w:val="ro-RO"/>
              </w:rPr>
              <w:t>III.3</w:t>
            </w:r>
            <w:r w:rsidR="00851FE5">
              <w:rPr>
                <w:rStyle w:val="Hyperlink"/>
                <w:noProof/>
                <w:lang w:val="ro-RO"/>
              </w:rPr>
              <w:t>.</w:t>
            </w:r>
            <w:r w:rsidRPr="00D6763F">
              <w:rPr>
                <w:rStyle w:val="Hyperlink"/>
                <w:noProof/>
                <w:lang w:val="ro-RO"/>
              </w:rPr>
              <w:t xml:space="preserve"> Proiecte de acte normative vs. tipul actului legislativ</w:t>
            </w:r>
            <w:r>
              <w:rPr>
                <w:noProof/>
                <w:webHidden/>
              </w:rPr>
              <w:tab/>
            </w:r>
            <w:r>
              <w:rPr>
                <w:noProof/>
                <w:webHidden/>
              </w:rPr>
              <w:fldChar w:fldCharType="begin"/>
            </w:r>
            <w:r>
              <w:rPr>
                <w:noProof/>
                <w:webHidden/>
              </w:rPr>
              <w:instrText xml:space="preserve"> PAGEREF _Toc409790619 \h </w:instrText>
            </w:r>
            <w:r>
              <w:rPr>
                <w:noProof/>
                <w:webHidden/>
              </w:rPr>
            </w:r>
            <w:r>
              <w:rPr>
                <w:noProof/>
                <w:webHidden/>
              </w:rPr>
              <w:fldChar w:fldCharType="separate"/>
            </w:r>
            <w:r>
              <w:rPr>
                <w:noProof/>
                <w:webHidden/>
              </w:rPr>
              <w:t>13</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0" w:history="1">
            <w:r w:rsidRPr="00D6763F">
              <w:rPr>
                <w:rStyle w:val="Hyperlink"/>
                <w:noProof/>
                <w:lang w:val="ro-RO"/>
              </w:rPr>
              <w:t>III.4</w:t>
            </w:r>
            <w:r w:rsidR="00851FE5">
              <w:rPr>
                <w:rStyle w:val="Hyperlink"/>
                <w:noProof/>
                <w:lang w:val="ro-RO"/>
              </w:rPr>
              <w:t>.</w:t>
            </w:r>
            <w:r w:rsidRPr="00D6763F">
              <w:rPr>
                <w:rStyle w:val="Hyperlink"/>
                <w:noProof/>
                <w:lang w:val="ro-RO"/>
              </w:rPr>
              <w:t xml:space="preserve"> Autorii iniţiativelor legislative</w:t>
            </w:r>
            <w:r>
              <w:rPr>
                <w:noProof/>
                <w:webHidden/>
              </w:rPr>
              <w:tab/>
            </w:r>
            <w:r>
              <w:rPr>
                <w:noProof/>
                <w:webHidden/>
              </w:rPr>
              <w:fldChar w:fldCharType="begin"/>
            </w:r>
            <w:r>
              <w:rPr>
                <w:noProof/>
                <w:webHidden/>
              </w:rPr>
              <w:instrText xml:space="preserve"> PAGEREF _Toc409790620 \h </w:instrText>
            </w:r>
            <w:r>
              <w:rPr>
                <w:noProof/>
                <w:webHidden/>
              </w:rPr>
            </w:r>
            <w:r>
              <w:rPr>
                <w:noProof/>
                <w:webHidden/>
              </w:rPr>
              <w:fldChar w:fldCharType="separate"/>
            </w:r>
            <w:r>
              <w:rPr>
                <w:noProof/>
                <w:webHidden/>
              </w:rPr>
              <w:t>14</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1" w:history="1">
            <w:r w:rsidRPr="00D6763F">
              <w:rPr>
                <w:rStyle w:val="Hyperlink"/>
                <w:noProof/>
                <w:lang w:val="ro-RO"/>
              </w:rPr>
              <w:t>III.5</w:t>
            </w:r>
            <w:r w:rsidR="00851FE5">
              <w:rPr>
                <w:rStyle w:val="Hyperlink"/>
                <w:noProof/>
                <w:lang w:val="ro-RO"/>
              </w:rPr>
              <w:t>.</w:t>
            </w:r>
            <w:r w:rsidRPr="00D6763F">
              <w:rPr>
                <w:rStyle w:val="Hyperlink"/>
                <w:noProof/>
                <w:lang w:val="ro-RO"/>
              </w:rPr>
              <w:t xml:space="preserve"> Argumentarea promovării proiectelor de legi</w:t>
            </w:r>
            <w:r>
              <w:rPr>
                <w:noProof/>
                <w:webHidden/>
              </w:rPr>
              <w:tab/>
            </w:r>
            <w:r>
              <w:rPr>
                <w:noProof/>
                <w:webHidden/>
              </w:rPr>
              <w:fldChar w:fldCharType="begin"/>
            </w:r>
            <w:r>
              <w:rPr>
                <w:noProof/>
                <w:webHidden/>
              </w:rPr>
              <w:instrText xml:space="preserve"> PAGEREF _Toc409790621 \h </w:instrText>
            </w:r>
            <w:r>
              <w:rPr>
                <w:noProof/>
                <w:webHidden/>
              </w:rPr>
            </w:r>
            <w:r>
              <w:rPr>
                <w:noProof/>
                <w:webHidden/>
              </w:rPr>
              <w:fldChar w:fldCharType="separate"/>
            </w:r>
            <w:r>
              <w:rPr>
                <w:noProof/>
                <w:webHidden/>
              </w:rPr>
              <w:t>15</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2" w:history="1">
            <w:r w:rsidRPr="00D6763F">
              <w:rPr>
                <w:rStyle w:val="Hyperlink"/>
                <w:noProof/>
                <w:lang w:val="ro-RO"/>
              </w:rPr>
              <w:t>III.6</w:t>
            </w:r>
            <w:r w:rsidR="00851FE5">
              <w:rPr>
                <w:rStyle w:val="Hyperlink"/>
                <w:noProof/>
                <w:lang w:val="ro-RO"/>
              </w:rPr>
              <w:t>.</w:t>
            </w:r>
            <w:r w:rsidRPr="00D6763F">
              <w:rPr>
                <w:rStyle w:val="Hyperlink"/>
                <w:noProof/>
                <w:lang w:val="ro-RO"/>
              </w:rPr>
              <w:t xml:space="preserve"> Respectarea principiilor transparenţei, participării şi responsabilizării</w:t>
            </w:r>
            <w:r>
              <w:rPr>
                <w:noProof/>
                <w:webHidden/>
              </w:rPr>
              <w:tab/>
            </w:r>
            <w:r>
              <w:rPr>
                <w:noProof/>
                <w:webHidden/>
              </w:rPr>
              <w:fldChar w:fldCharType="begin"/>
            </w:r>
            <w:r>
              <w:rPr>
                <w:noProof/>
                <w:webHidden/>
              </w:rPr>
              <w:instrText xml:space="preserve"> PAGEREF _Toc409790622 \h </w:instrText>
            </w:r>
            <w:r>
              <w:rPr>
                <w:noProof/>
                <w:webHidden/>
              </w:rPr>
            </w:r>
            <w:r>
              <w:rPr>
                <w:noProof/>
                <w:webHidden/>
              </w:rPr>
              <w:fldChar w:fldCharType="separate"/>
            </w:r>
            <w:r>
              <w:rPr>
                <w:noProof/>
                <w:webHidden/>
              </w:rPr>
              <w:t>17</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3" w:history="1">
            <w:r w:rsidRPr="00D6763F">
              <w:rPr>
                <w:rStyle w:val="Hyperlink"/>
                <w:noProof/>
                <w:lang w:val="ro-RO"/>
              </w:rPr>
              <w:t>III.6.1</w:t>
            </w:r>
            <w:r w:rsidR="00851FE5">
              <w:rPr>
                <w:rStyle w:val="Hyperlink"/>
                <w:noProof/>
                <w:lang w:val="ro-RO"/>
              </w:rPr>
              <w:t>.</w:t>
            </w:r>
            <w:r w:rsidRPr="00D6763F">
              <w:rPr>
                <w:rStyle w:val="Hyperlink"/>
                <w:noProof/>
                <w:lang w:val="ro-RO"/>
              </w:rPr>
              <w:t xml:space="preserve"> Principiul transparenţei</w:t>
            </w:r>
            <w:r>
              <w:rPr>
                <w:noProof/>
                <w:webHidden/>
              </w:rPr>
              <w:tab/>
            </w:r>
            <w:r>
              <w:rPr>
                <w:noProof/>
                <w:webHidden/>
              </w:rPr>
              <w:fldChar w:fldCharType="begin"/>
            </w:r>
            <w:r>
              <w:rPr>
                <w:noProof/>
                <w:webHidden/>
              </w:rPr>
              <w:instrText xml:space="preserve"> PAGEREF _Toc409790623 \h </w:instrText>
            </w:r>
            <w:r>
              <w:rPr>
                <w:noProof/>
                <w:webHidden/>
              </w:rPr>
            </w:r>
            <w:r>
              <w:rPr>
                <w:noProof/>
                <w:webHidden/>
              </w:rPr>
              <w:fldChar w:fldCharType="separate"/>
            </w:r>
            <w:r>
              <w:rPr>
                <w:noProof/>
                <w:webHidden/>
              </w:rPr>
              <w:t>18</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4" w:history="1">
            <w:r w:rsidRPr="00D6763F">
              <w:rPr>
                <w:rStyle w:val="Hyperlink"/>
                <w:noProof/>
                <w:lang w:val="ro-RO"/>
              </w:rPr>
              <w:t>III.6.2</w:t>
            </w:r>
            <w:r w:rsidR="00851FE5">
              <w:rPr>
                <w:rStyle w:val="Hyperlink"/>
                <w:noProof/>
                <w:lang w:val="ro-RO"/>
              </w:rPr>
              <w:t>.</w:t>
            </w:r>
            <w:r w:rsidRPr="00D6763F">
              <w:rPr>
                <w:rStyle w:val="Hyperlink"/>
                <w:noProof/>
                <w:lang w:val="ro-RO"/>
              </w:rPr>
              <w:t xml:space="preserve"> Principiul participării</w:t>
            </w:r>
            <w:r>
              <w:rPr>
                <w:noProof/>
                <w:webHidden/>
              </w:rPr>
              <w:tab/>
            </w:r>
            <w:r>
              <w:rPr>
                <w:noProof/>
                <w:webHidden/>
              </w:rPr>
              <w:fldChar w:fldCharType="begin"/>
            </w:r>
            <w:r>
              <w:rPr>
                <w:noProof/>
                <w:webHidden/>
              </w:rPr>
              <w:instrText xml:space="preserve"> PAGEREF _Toc409790624 \h </w:instrText>
            </w:r>
            <w:r>
              <w:rPr>
                <w:noProof/>
                <w:webHidden/>
              </w:rPr>
            </w:r>
            <w:r>
              <w:rPr>
                <w:noProof/>
                <w:webHidden/>
              </w:rPr>
              <w:fldChar w:fldCharType="separate"/>
            </w:r>
            <w:r>
              <w:rPr>
                <w:noProof/>
                <w:webHidden/>
              </w:rPr>
              <w:t>19</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5" w:history="1">
            <w:r w:rsidRPr="00D6763F">
              <w:rPr>
                <w:rStyle w:val="Hyperlink"/>
                <w:noProof/>
                <w:lang w:val="ro-RO"/>
              </w:rPr>
              <w:t>III.6.3</w:t>
            </w:r>
            <w:r w:rsidR="00851FE5">
              <w:rPr>
                <w:rStyle w:val="Hyperlink"/>
                <w:noProof/>
                <w:lang w:val="ro-RO"/>
              </w:rPr>
              <w:t>.</w:t>
            </w:r>
            <w:r w:rsidRPr="00D6763F">
              <w:rPr>
                <w:rStyle w:val="Hyperlink"/>
                <w:noProof/>
                <w:lang w:val="ro-RO"/>
              </w:rPr>
              <w:t xml:space="preserve"> Principiul responsabilizării</w:t>
            </w:r>
            <w:r>
              <w:rPr>
                <w:noProof/>
                <w:webHidden/>
              </w:rPr>
              <w:tab/>
            </w:r>
            <w:r>
              <w:rPr>
                <w:noProof/>
                <w:webHidden/>
              </w:rPr>
              <w:fldChar w:fldCharType="begin"/>
            </w:r>
            <w:r>
              <w:rPr>
                <w:noProof/>
                <w:webHidden/>
              </w:rPr>
              <w:instrText xml:space="preserve"> PAGEREF _Toc409790625 \h </w:instrText>
            </w:r>
            <w:r>
              <w:rPr>
                <w:noProof/>
                <w:webHidden/>
              </w:rPr>
            </w:r>
            <w:r>
              <w:rPr>
                <w:noProof/>
                <w:webHidden/>
              </w:rPr>
              <w:fldChar w:fldCharType="separate"/>
            </w:r>
            <w:r>
              <w:rPr>
                <w:noProof/>
                <w:webHidden/>
              </w:rPr>
              <w:t>21</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6" w:history="1">
            <w:r w:rsidRPr="00D6763F">
              <w:rPr>
                <w:rStyle w:val="Hyperlink"/>
                <w:noProof/>
                <w:lang w:val="ro-RO"/>
              </w:rPr>
              <w:t>III.7</w:t>
            </w:r>
            <w:r w:rsidR="00851FE5">
              <w:rPr>
                <w:rStyle w:val="Hyperlink"/>
                <w:noProof/>
                <w:lang w:val="ro-RO"/>
              </w:rPr>
              <w:t>.</w:t>
            </w:r>
            <w:r w:rsidRPr="00D6763F">
              <w:rPr>
                <w:rStyle w:val="Hyperlink"/>
                <w:noProof/>
                <w:lang w:val="ro-RO"/>
              </w:rPr>
              <w:t xml:space="preserve"> Proiectele de legi vs. drepturile omului reglementate de Constituţia RM</w:t>
            </w:r>
            <w:r>
              <w:rPr>
                <w:noProof/>
                <w:webHidden/>
              </w:rPr>
              <w:tab/>
            </w:r>
            <w:r>
              <w:rPr>
                <w:noProof/>
                <w:webHidden/>
              </w:rPr>
              <w:fldChar w:fldCharType="begin"/>
            </w:r>
            <w:r>
              <w:rPr>
                <w:noProof/>
                <w:webHidden/>
              </w:rPr>
              <w:instrText xml:space="preserve"> PAGEREF _Toc409790626 \h </w:instrText>
            </w:r>
            <w:r>
              <w:rPr>
                <w:noProof/>
                <w:webHidden/>
              </w:rPr>
            </w:r>
            <w:r>
              <w:rPr>
                <w:noProof/>
                <w:webHidden/>
              </w:rPr>
              <w:fldChar w:fldCharType="separate"/>
            </w:r>
            <w:r>
              <w:rPr>
                <w:noProof/>
                <w:webHidden/>
              </w:rPr>
              <w:t>23</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7" w:history="1">
            <w:r w:rsidRPr="00D6763F">
              <w:rPr>
                <w:rStyle w:val="Hyperlink"/>
                <w:noProof/>
                <w:lang w:val="ro-RO"/>
              </w:rPr>
              <w:t>III.7.1</w:t>
            </w:r>
            <w:r w:rsidR="00851FE5">
              <w:rPr>
                <w:rStyle w:val="Hyperlink"/>
                <w:noProof/>
                <w:lang w:val="ro-RO"/>
              </w:rPr>
              <w:t>.</w:t>
            </w:r>
            <w:r w:rsidRPr="00D6763F">
              <w:rPr>
                <w:rStyle w:val="Hyperlink"/>
                <w:noProof/>
                <w:lang w:val="ro-RO"/>
              </w:rPr>
              <w:t xml:space="preserve"> Drepturi şi libertăţi individuale</w:t>
            </w:r>
            <w:r>
              <w:rPr>
                <w:noProof/>
                <w:webHidden/>
              </w:rPr>
              <w:tab/>
            </w:r>
            <w:r>
              <w:rPr>
                <w:noProof/>
                <w:webHidden/>
              </w:rPr>
              <w:fldChar w:fldCharType="begin"/>
            </w:r>
            <w:r>
              <w:rPr>
                <w:noProof/>
                <w:webHidden/>
              </w:rPr>
              <w:instrText xml:space="preserve"> PAGEREF _Toc409790627 \h </w:instrText>
            </w:r>
            <w:r>
              <w:rPr>
                <w:noProof/>
                <w:webHidden/>
              </w:rPr>
            </w:r>
            <w:r>
              <w:rPr>
                <w:noProof/>
                <w:webHidden/>
              </w:rPr>
              <w:fldChar w:fldCharType="separate"/>
            </w:r>
            <w:r>
              <w:rPr>
                <w:noProof/>
                <w:webHidden/>
              </w:rPr>
              <w:t>23</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8" w:history="1">
            <w:r w:rsidRPr="00D6763F">
              <w:rPr>
                <w:rStyle w:val="Hyperlink"/>
                <w:noProof/>
                <w:lang w:val="ro-RO"/>
              </w:rPr>
              <w:t>III.7.2</w:t>
            </w:r>
            <w:r w:rsidR="00851FE5">
              <w:rPr>
                <w:rStyle w:val="Hyperlink"/>
                <w:noProof/>
                <w:lang w:val="ro-RO"/>
              </w:rPr>
              <w:t>.</w:t>
            </w:r>
            <w:r w:rsidRPr="00D6763F">
              <w:rPr>
                <w:rStyle w:val="Hyperlink"/>
                <w:noProof/>
                <w:lang w:val="ro-RO"/>
              </w:rPr>
              <w:t xml:space="preserve"> Drepturile şi libertăţile social-economice</w:t>
            </w:r>
            <w:r>
              <w:rPr>
                <w:noProof/>
                <w:webHidden/>
              </w:rPr>
              <w:tab/>
            </w:r>
            <w:r>
              <w:rPr>
                <w:noProof/>
                <w:webHidden/>
              </w:rPr>
              <w:fldChar w:fldCharType="begin"/>
            </w:r>
            <w:r>
              <w:rPr>
                <w:noProof/>
                <w:webHidden/>
              </w:rPr>
              <w:instrText xml:space="preserve"> PAGEREF _Toc409790628 \h </w:instrText>
            </w:r>
            <w:r>
              <w:rPr>
                <w:noProof/>
                <w:webHidden/>
              </w:rPr>
            </w:r>
            <w:r>
              <w:rPr>
                <w:noProof/>
                <w:webHidden/>
              </w:rPr>
              <w:fldChar w:fldCharType="separate"/>
            </w:r>
            <w:r>
              <w:rPr>
                <w:noProof/>
                <w:webHidden/>
              </w:rPr>
              <w:t>24</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29" w:history="1">
            <w:r w:rsidRPr="00D6763F">
              <w:rPr>
                <w:rStyle w:val="Hyperlink"/>
                <w:noProof/>
              </w:rPr>
              <w:t>III.7.3</w:t>
            </w:r>
            <w:r w:rsidR="00851FE5">
              <w:rPr>
                <w:rStyle w:val="Hyperlink"/>
                <w:noProof/>
                <w:lang w:val="ro-RO"/>
              </w:rPr>
              <w:t>.</w:t>
            </w:r>
            <w:r w:rsidRPr="00D6763F">
              <w:rPr>
                <w:rStyle w:val="Hyperlink"/>
                <w:noProof/>
              </w:rPr>
              <w:t xml:space="preserve"> Drepturile şi libertăţile civile şi politice</w:t>
            </w:r>
            <w:r>
              <w:rPr>
                <w:noProof/>
                <w:webHidden/>
              </w:rPr>
              <w:tab/>
            </w:r>
            <w:r>
              <w:rPr>
                <w:noProof/>
                <w:webHidden/>
              </w:rPr>
              <w:fldChar w:fldCharType="begin"/>
            </w:r>
            <w:r>
              <w:rPr>
                <w:noProof/>
                <w:webHidden/>
              </w:rPr>
              <w:instrText xml:space="preserve"> PAGEREF _Toc409790629 \h </w:instrText>
            </w:r>
            <w:r>
              <w:rPr>
                <w:noProof/>
                <w:webHidden/>
              </w:rPr>
            </w:r>
            <w:r>
              <w:rPr>
                <w:noProof/>
                <w:webHidden/>
              </w:rPr>
              <w:fldChar w:fldCharType="separate"/>
            </w:r>
            <w:r>
              <w:rPr>
                <w:noProof/>
                <w:webHidden/>
              </w:rPr>
              <w:t>24</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0" w:history="1">
            <w:r w:rsidRPr="00D6763F">
              <w:rPr>
                <w:rStyle w:val="Hyperlink"/>
                <w:noProof/>
              </w:rPr>
              <w:t>III.7.4</w:t>
            </w:r>
            <w:r w:rsidR="00851FE5">
              <w:rPr>
                <w:rStyle w:val="Hyperlink"/>
                <w:noProof/>
                <w:lang w:val="ro-RO"/>
              </w:rPr>
              <w:t>.</w:t>
            </w:r>
            <w:r w:rsidRPr="00D6763F">
              <w:rPr>
                <w:rStyle w:val="Hyperlink"/>
                <w:noProof/>
              </w:rPr>
              <w:t xml:space="preserve"> Drepturile şi libertăţile culturale</w:t>
            </w:r>
            <w:r>
              <w:rPr>
                <w:noProof/>
                <w:webHidden/>
              </w:rPr>
              <w:tab/>
            </w:r>
            <w:r>
              <w:rPr>
                <w:noProof/>
                <w:webHidden/>
              </w:rPr>
              <w:fldChar w:fldCharType="begin"/>
            </w:r>
            <w:r>
              <w:rPr>
                <w:noProof/>
                <w:webHidden/>
              </w:rPr>
              <w:instrText xml:space="preserve"> PAGEREF _Toc409790630 \h </w:instrText>
            </w:r>
            <w:r>
              <w:rPr>
                <w:noProof/>
                <w:webHidden/>
              </w:rPr>
            </w:r>
            <w:r>
              <w:rPr>
                <w:noProof/>
                <w:webHidden/>
              </w:rPr>
              <w:fldChar w:fldCharType="separate"/>
            </w:r>
            <w:r>
              <w:rPr>
                <w:noProof/>
                <w:webHidden/>
              </w:rPr>
              <w:t>24</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1" w:history="1">
            <w:r w:rsidRPr="00D6763F">
              <w:rPr>
                <w:rStyle w:val="Hyperlink"/>
                <w:noProof/>
              </w:rPr>
              <w:t>III.7.5</w:t>
            </w:r>
            <w:r w:rsidR="00851FE5">
              <w:rPr>
                <w:rStyle w:val="Hyperlink"/>
                <w:noProof/>
                <w:lang w:val="ro-RO"/>
              </w:rPr>
              <w:t>.</w:t>
            </w:r>
            <w:r w:rsidRPr="00D6763F">
              <w:rPr>
                <w:rStyle w:val="Hyperlink"/>
                <w:noProof/>
              </w:rPr>
              <w:t xml:space="preserve"> Drepturile garanţii</w:t>
            </w:r>
            <w:r>
              <w:rPr>
                <w:noProof/>
                <w:webHidden/>
              </w:rPr>
              <w:tab/>
            </w:r>
            <w:r>
              <w:rPr>
                <w:noProof/>
                <w:webHidden/>
              </w:rPr>
              <w:fldChar w:fldCharType="begin"/>
            </w:r>
            <w:r>
              <w:rPr>
                <w:noProof/>
                <w:webHidden/>
              </w:rPr>
              <w:instrText xml:space="preserve"> PAGEREF _Toc409790631 \h </w:instrText>
            </w:r>
            <w:r>
              <w:rPr>
                <w:noProof/>
                <w:webHidden/>
              </w:rPr>
            </w:r>
            <w:r>
              <w:rPr>
                <w:noProof/>
                <w:webHidden/>
              </w:rPr>
              <w:fldChar w:fldCharType="separate"/>
            </w:r>
            <w:r>
              <w:rPr>
                <w:noProof/>
                <w:webHidden/>
              </w:rPr>
              <w:t>25</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2" w:history="1">
            <w:r w:rsidRPr="00D6763F">
              <w:rPr>
                <w:rStyle w:val="Hyperlink"/>
                <w:noProof/>
                <w:lang w:val="ro-RO"/>
              </w:rPr>
              <w:t>III.8</w:t>
            </w:r>
            <w:r w:rsidR="00851FE5">
              <w:rPr>
                <w:rStyle w:val="Hyperlink"/>
                <w:noProof/>
                <w:lang w:val="ro-RO"/>
              </w:rPr>
              <w:t>.</w:t>
            </w:r>
            <w:r w:rsidRPr="00D6763F">
              <w:rPr>
                <w:rStyle w:val="Hyperlink"/>
                <w:noProof/>
                <w:lang w:val="ro-RO"/>
              </w:rPr>
              <w:t xml:space="preserve"> Impactul gender al proiectelor de legi</w:t>
            </w:r>
            <w:r>
              <w:rPr>
                <w:noProof/>
                <w:webHidden/>
              </w:rPr>
              <w:tab/>
            </w:r>
            <w:r>
              <w:rPr>
                <w:noProof/>
                <w:webHidden/>
              </w:rPr>
              <w:fldChar w:fldCharType="begin"/>
            </w:r>
            <w:r>
              <w:rPr>
                <w:noProof/>
                <w:webHidden/>
              </w:rPr>
              <w:instrText xml:space="preserve"> PAGEREF _Toc409790632 \h </w:instrText>
            </w:r>
            <w:r>
              <w:rPr>
                <w:noProof/>
                <w:webHidden/>
              </w:rPr>
            </w:r>
            <w:r>
              <w:rPr>
                <w:noProof/>
                <w:webHidden/>
              </w:rPr>
              <w:fldChar w:fldCharType="separate"/>
            </w:r>
            <w:r>
              <w:rPr>
                <w:noProof/>
                <w:webHidden/>
              </w:rPr>
              <w:t>25</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3" w:history="1">
            <w:r w:rsidRPr="00D6763F">
              <w:rPr>
                <w:rStyle w:val="Hyperlink"/>
                <w:noProof/>
              </w:rPr>
              <w:t>CAPITOLUL IV</w:t>
            </w:r>
            <w:r w:rsidR="00851FE5">
              <w:rPr>
                <w:rStyle w:val="Hyperlink"/>
                <w:noProof/>
                <w:lang w:val="ro-RO"/>
              </w:rPr>
              <w:t>.</w:t>
            </w:r>
            <w:r w:rsidRPr="00D6763F">
              <w:rPr>
                <w:rStyle w:val="Hyperlink"/>
                <w:noProof/>
              </w:rPr>
              <w:t xml:space="preserve"> FACTORII DE VULNERABILITATE ÎN PROIECTELE DE LEGI EXPERTIZATE</w:t>
            </w:r>
            <w:r>
              <w:rPr>
                <w:noProof/>
                <w:webHidden/>
              </w:rPr>
              <w:tab/>
            </w:r>
            <w:r>
              <w:rPr>
                <w:noProof/>
                <w:webHidden/>
              </w:rPr>
              <w:fldChar w:fldCharType="begin"/>
            </w:r>
            <w:r>
              <w:rPr>
                <w:noProof/>
                <w:webHidden/>
              </w:rPr>
              <w:instrText xml:space="preserve"> PAGEREF _Toc409790633 \h </w:instrText>
            </w:r>
            <w:r>
              <w:rPr>
                <w:noProof/>
                <w:webHidden/>
              </w:rPr>
            </w:r>
            <w:r>
              <w:rPr>
                <w:noProof/>
                <w:webHidden/>
              </w:rPr>
              <w:fldChar w:fldCharType="separate"/>
            </w:r>
            <w:r>
              <w:rPr>
                <w:noProof/>
                <w:webHidden/>
              </w:rPr>
              <w:t>27</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4" w:history="1">
            <w:r w:rsidRPr="00D6763F">
              <w:rPr>
                <w:rStyle w:val="Hyperlink"/>
                <w:noProof/>
              </w:rPr>
              <w:t>IV.1</w:t>
            </w:r>
            <w:r w:rsidR="00851FE5">
              <w:rPr>
                <w:rStyle w:val="Hyperlink"/>
                <w:noProof/>
                <w:lang w:val="ro-RO"/>
              </w:rPr>
              <w:t>.</w:t>
            </w:r>
            <w:r w:rsidRPr="00D6763F">
              <w:rPr>
                <w:rStyle w:val="Hyperlink"/>
                <w:noProof/>
              </w:rPr>
              <w:t xml:space="preserve"> Răspîndirea factorilor de vulnerabilitate în proiectele de legi şi eficienţa obiecţiilor formulate</w:t>
            </w:r>
            <w:r>
              <w:rPr>
                <w:noProof/>
                <w:webHidden/>
              </w:rPr>
              <w:tab/>
            </w:r>
            <w:r>
              <w:rPr>
                <w:noProof/>
                <w:webHidden/>
              </w:rPr>
              <w:fldChar w:fldCharType="begin"/>
            </w:r>
            <w:r>
              <w:rPr>
                <w:noProof/>
                <w:webHidden/>
              </w:rPr>
              <w:instrText xml:space="preserve"> PAGEREF _Toc409790634 \h </w:instrText>
            </w:r>
            <w:r>
              <w:rPr>
                <w:noProof/>
                <w:webHidden/>
              </w:rPr>
            </w:r>
            <w:r>
              <w:rPr>
                <w:noProof/>
                <w:webHidden/>
              </w:rPr>
              <w:fldChar w:fldCharType="separate"/>
            </w:r>
            <w:r>
              <w:rPr>
                <w:noProof/>
                <w:webHidden/>
              </w:rPr>
              <w:t>27</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5" w:history="1">
            <w:r w:rsidRPr="00D6763F">
              <w:rPr>
                <w:rStyle w:val="Hyperlink"/>
                <w:noProof/>
              </w:rPr>
              <w:t>IV.2</w:t>
            </w:r>
            <w:r w:rsidR="00851FE5">
              <w:rPr>
                <w:rStyle w:val="Hyperlink"/>
                <w:noProof/>
                <w:lang w:val="ro-RO"/>
              </w:rPr>
              <w:t>.</w:t>
            </w:r>
            <w:r w:rsidRPr="00D6763F">
              <w:rPr>
                <w:rStyle w:val="Hyperlink"/>
                <w:noProof/>
              </w:rPr>
              <w:t xml:space="preserve"> Prevederi care încalcă drepturile/libertăţile</w:t>
            </w:r>
            <w:r>
              <w:rPr>
                <w:noProof/>
                <w:webHidden/>
              </w:rPr>
              <w:tab/>
            </w:r>
            <w:r>
              <w:rPr>
                <w:noProof/>
                <w:webHidden/>
              </w:rPr>
              <w:fldChar w:fldCharType="begin"/>
            </w:r>
            <w:r>
              <w:rPr>
                <w:noProof/>
                <w:webHidden/>
              </w:rPr>
              <w:instrText xml:space="preserve"> PAGEREF _Toc409790635 \h </w:instrText>
            </w:r>
            <w:r>
              <w:rPr>
                <w:noProof/>
                <w:webHidden/>
              </w:rPr>
            </w:r>
            <w:r>
              <w:rPr>
                <w:noProof/>
                <w:webHidden/>
              </w:rPr>
              <w:fldChar w:fldCharType="separate"/>
            </w:r>
            <w:r>
              <w:rPr>
                <w:noProof/>
                <w:webHidden/>
              </w:rPr>
              <w:t>29</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6" w:history="1">
            <w:r w:rsidRPr="00D6763F">
              <w:rPr>
                <w:rStyle w:val="Hyperlink"/>
                <w:noProof/>
              </w:rPr>
              <w:t>IV.3</w:t>
            </w:r>
            <w:r w:rsidR="00851FE5">
              <w:rPr>
                <w:rStyle w:val="Hyperlink"/>
                <w:noProof/>
                <w:lang w:val="ro-RO"/>
              </w:rPr>
              <w:t>.</w:t>
            </w:r>
            <w:r w:rsidRPr="00D6763F">
              <w:rPr>
                <w:rStyle w:val="Hyperlink"/>
                <w:noProof/>
              </w:rPr>
              <w:t xml:space="preserve"> Omisiune/ignorare a drepturilor/libertăţilor</w:t>
            </w:r>
            <w:r>
              <w:rPr>
                <w:noProof/>
                <w:webHidden/>
              </w:rPr>
              <w:tab/>
            </w:r>
            <w:r>
              <w:rPr>
                <w:noProof/>
                <w:webHidden/>
              </w:rPr>
              <w:fldChar w:fldCharType="begin"/>
            </w:r>
            <w:r>
              <w:rPr>
                <w:noProof/>
                <w:webHidden/>
              </w:rPr>
              <w:instrText xml:space="preserve"> PAGEREF _Toc409790636 \h </w:instrText>
            </w:r>
            <w:r>
              <w:rPr>
                <w:noProof/>
                <w:webHidden/>
              </w:rPr>
            </w:r>
            <w:r>
              <w:rPr>
                <w:noProof/>
                <w:webHidden/>
              </w:rPr>
              <w:fldChar w:fldCharType="separate"/>
            </w:r>
            <w:r>
              <w:rPr>
                <w:noProof/>
                <w:webHidden/>
              </w:rPr>
              <w:t>30</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7" w:history="1">
            <w:r w:rsidRPr="00D6763F">
              <w:rPr>
                <w:rStyle w:val="Hyperlink"/>
                <w:noProof/>
              </w:rPr>
              <w:t>IV.4</w:t>
            </w:r>
            <w:r w:rsidR="00851FE5">
              <w:rPr>
                <w:rStyle w:val="Hyperlink"/>
                <w:noProof/>
                <w:lang w:val="ro-RO"/>
              </w:rPr>
              <w:t>.</w:t>
            </w:r>
            <w:r w:rsidRPr="00D6763F">
              <w:rPr>
                <w:rStyle w:val="Hyperlink"/>
                <w:noProof/>
              </w:rPr>
              <w:t xml:space="preserve"> Prevederi necorespunzătoare jurisprudenţei CtEDO</w:t>
            </w:r>
            <w:r>
              <w:rPr>
                <w:noProof/>
                <w:webHidden/>
              </w:rPr>
              <w:tab/>
            </w:r>
            <w:r>
              <w:rPr>
                <w:noProof/>
                <w:webHidden/>
              </w:rPr>
              <w:fldChar w:fldCharType="begin"/>
            </w:r>
            <w:r>
              <w:rPr>
                <w:noProof/>
                <w:webHidden/>
              </w:rPr>
              <w:instrText xml:space="preserve"> PAGEREF _Toc409790637 \h </w:instrText>
            </w:r>
            <w:r>
              <w:rPr>
                <w:noProof/>
                <w:webHidden/>
              </w:rPr>
            </w:r>
            <w:r>
              <w:rPr>
                <w:noProof/>
                <w:webHidden/>
              </w:rPr>
              <w:fldChar w:fldCharType="separate"/>
            </w:r>
            <w:r>
              <w:rPr>
                <w:noProof/>
                <w:webHidden/>
              </w:rPr>
              <w:t>32</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8" w:history="1">
            <w:r w:rsidRPr="00D6763F">
              <w:rPr>
                <w:rStyle w:val="Hyperlink"/>
                <w:noProof/>
              </w:rPr>
              <w:t>IV.5</w:t>
            </w:r>
            <w:r w:rsidR="00851FE5">
              <w:rPr>
                <w:rStyle w:val="Hyperlink"/>
                <w:noProof/>
                <w:lang w:val="ro-RO"/>
              </w:rPr>
              <w:t>.</w:t>
            </w:r>
            <w:r w:rsidRPr="00D6763F">
              <w:rPr>
                <w:rStyle w:val="Hyperlink"/>
                <w:noProof/>
              </w:rPr>
              <w:t xml:space="preserve"> Prevederi care limitează drepturile/libertăţile</w:t>
            </w:r>
            <w:r>
              <w:rPr>
                <w:noProof/>
                <w:webHidden/>
              </w:rPr>
              <w:tab/>
            </w:r>
            <w:r>
              <w:rPr>
                <w:noProof/>
                <w:webHidden/>
              </w:rPr>
              <w:fldChar w:fldCharType="begin"/>
            </w:r>
            <w:r>
              <w:rPr>
                <w:noProof/>
                <w:webHidden/>
              </w:rPr>
              <w:instrText xml:space="preserve"> PAGEREF _Toc409790638 \h </w:instrText>
            </w:r>
            <w:r>
              <w:rPr>
                <w:noProof/>
                <w:webHidden/>
              </w:rPr>
            </w:r>
            <w:r>
              <w:rPr>
                <w:noProof/>
                <w:webHidden/>
              </w:rPr>
              <w:fldChar w:fldCharType="separate"/>
            </w:r>
            <w:r>
              <w:rPr>
                <w:noProof/>
                <w:webHidden/>
              </w:rPr>
              <w:t>34</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39" w:history="1">
            <w:r w:rsidRPr="00D6763F">
              <w:rPr>
                <w:rStyle w:val="Hyperlink"/>
                <w:noProof/>
              </w:rPr>
              <w:t>IV.6</w:t>
            </w:r>
            <w:r w:rsidR="00851FE5">
              <w:rPr>
                <w:rStyle w:val="Hyperlink"/>
                <w:noProof/>
                <w:lang w:val="ro-RO"/>
              </w:rPr>
              <w:t>.</w:t>
            </w:r>
            <w:r w:rsidRPr="00D6763F">
              <w:rPr>
                <w:rStyle w:val="Hyperlink"/>
                <w:noProof/>
              </w:rPr>
              <w:t xml:space="preserve"> Prevederi necorespunzătoare normelor constituţionale</w:t>
            </w:r>
            <w:r>
              <w:rPr>
                <w:noProof/>
                <w:webHidden/>
              </w:rPr>
              <w:tab/>
            </w:r>
            <w:r>
              <w:rPr>
                <w:noProof/>
                <w:webHidden/>
              </w:rPr>
              <w:fldChar w:fldCharType="begin"/>
            </w:r>
            <w:r>
              <w:rPr>
                <w:noProof/>
                <w:webHidden/>
              </w:rPr>
              <w:instrText xml:space="preserve"> PAGEREF _Toc409790639 \h </w:instrText>
            </w:r>
            <w:r>
              <w:rPr>
                <w:noProof/>
                <w:webHidden/>
              </w:rPr>
            </w:r>
            <w:r>
              <w:rPr>
                <w:noProof/>
                <w:webHidden/>
              </w:rPr>
              <w:fldChar w:fldCharType="separate"/>
            </w:r>
            <w:r>
              <w:rPr>
                <w:noProof/>
                <w:webHidden/>
              </w:rPr>
              <w:t>36</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40" w:history="1">
            <w:r w:rsidRPr="00D6763F">
              <w:rPr>
                <w:rStyle w:val="Hyperlink"/>
                <w:noProof/>
              </w:rPr>
              <w:t>IV.7</w:t>
            </w:r>
            <w:r w:rsidR="00851FE5">
              <w:rPr>
                <w:rStyle w:val="Hyperlink"/>
                <w:noProof/>
                <w:lang w:val="ro-RO"/>
              </w:rPr>
              <w:t>.</w:t>
            </w:r>
            <w:r w:rsidRPr="00D6763F">
              <w:rPr>
                <w:rStyle w:val="Hyperlink"/>
                <w:noProof/>
              </w:rPr>
              <w:t xml:space="preserve"> Prevederi necorespunzătoare normelor din legislaţia corelativă</w:t>
            </w:r>
            <w:r>
              <w:rPr>
                <w:noProof/>
                <w:webHidden/>
              </w:rPr>
              <w:tab/>
            </w:r>
            <w:r>
              <w:rPr>
                <w:noProof/>
                <w:webHidden/>
              </w:rPr>
              <w:fldChar w:fldCharType="begin"/>
            </w:r>
            <w:r>
              <w:rPr>
                <w:noProof/>
                <w:webHidden/>
              </w:rPr>
              <w:instrText xml:space="preserve"> PAGEREF _Toc409790640 \h </w:instrText>
            </w:r>
            <w:r>
              <w:rPr>
                <w:noProof/>
                <w:webHidden/>
              </w:rPr>
            </w:r>
            <w:r>
              <w:rPr>
                <w:noProof/>
                <w:webHidden/>
              </w:rPr>
              <w:fldChar w:fldCharType="separate"/>
            </w:r>
            <w:r>
              <w:rPr>
                <w:noProof/>
                <w:webHidden/>
              </w:rPr>
              <w:t>38</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42" w:history="1">
            <w:r w:rsidRPr="00D6763F">
              <w:rPr>
                <w:rStyle w:val="Hyperlink"/>
                <w:noProof/>
              </w:rPr>
              <w:t>IV.8</w:t>
            </w:r>
            <w:r w:rsidR="00851FE5">
              <w:rPr>
                <w:rStyle w:val="Hyperlink"/>
                <w:noProof/>
                <w:lang w:val="ro-RO"/>
              </w:rPr>
              <w:t>.</w:t>
            </w:r>
            <w:r w:rsidRPr="00D6763F">
              <w:rPr>
                <w:rStyle w:val="Hyperlink"/>
                <w:noProof/>
              </w:rPr>
              <w:t xml:space="preserve"> Prevederi necorespunzătoare standardelor internaţionale</w:t>
            </w:r>
            <w:r>
              <w:rPr>
                <w:noProof/>
                <w:webHidden/>
              </w:rPr>
              <w:tab/>
            </w:r>
            <w:r>
              <w:rPr>
                <w:noProof/>
                <w:webHidden/>
              </w:rPr>
              <w:fldChar w:fldCharType="begin"/>
            </w:r>
            <w:r>
              <w:rPr>
                <w:noProof/>
                <w:webHidden/>
              </w:rPr>
              <w:instrText xml:space="preserve"> PAGEREF _Toc409790642 \h </w:instrText>
            </w:r>
            <w:r>
              <w:rPr>
                <w:noProof/>
                <w:webHidden/>
              </w:rPr>
            </w:r>
            <w:r>
              <w:rPr>
                <w:noProof/>
                <w:webHidden/>
              </w:rPr>
              <w:fldChar w:fldCharType="separate"/>
            </w:r>
            <w:r>
              <w:rPr>
                <w:noProof/>
                <w:webHidden/>
              </w:rPr>
              <w:t>39</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43" w:history="1">
            <w:r w:rsidRPr="00D6763F">
              <w:rPr>
                <w:rStyle w:val="Hyperlink"/>
                <w:noProof/>
              </w:rPr>
              <w:t>IV.9</w:t>
            </w:r>
            <w:r w:rsidR="00851FE5">
              <w:rPr>
                <w:rStyle w:val="Hyperlink"/>
                <w:noProof/>
                <w:lang w:val="ro-RO"/>
              </w:rPr>
              <w:t>.</w:t>
            </w:r>
            <w:r w:rsidRPr="00D6763F">
              <w:rPr>
                <w:rStyle w:val="Hyperlink"/>
                <w:noProof/>
              </w:rPr>
              <w:t xml:space="preserve"> Prevederi necorespunzătoare jurisprudenţei Curţii Constituţionale</w:t>
            </w:r>
            <w:r>
              <w:rPr>
                <w:noProof/>
                <w:webHidden/>
              </w:rPr>
              <w:tab/>
            </w:r>
            <w:r>
              <w:rPr>
                <w:noProof/>
                <w:webHidden/>
              </w:rPr>
              <w:fldChar w:fldCharType="begin"/>
            </w:r>
            <w:r>
              <w:rPr>
                <w:noProof/>
                <w:webHidden/>
              </w:rPr>
              <w:instrText xml:space="preserve"> PAGEREF _Toc409790643 \h </w:instrText>
            </w:r>
            <w:r>
              <w:rPr>
                <w:noProof/>
                <w:webHidden/>
              </w:rPr>
            </w:r>
            <w:r>
              <w:rPr>
                <w:noProof/>
                <w:webHidden/>
              </w:rPr>
              <w:fldChar w:fldCharType="separate"/>
            </w:r>
            <w:r>
              <w:rPr>
                <w:noProof/>
                <w:webHidden/>
              </w:rPr>
              <w:t>40</w:t>
            </w:r>
            <w:r>
              <w:rPr>
                <w:noProof/>
                <w:webHidden/>
              </w:rPr>
              <w:fldChar w:fldCharType="end"/>
            </w:r>
          </w:hyperlink>
        </w:p>
        <w:p w:rsidR="008372DF" w:rsidRDefault="008372DF">
          <w:pPr>
            <w:pStyle w:val="TOC1"/>
            <w:tabs>
              <w:tab w:val="right" w:leader="dot" w:pos="9345"/>
            </w:tabs>
            <w:rPr>
              <w:rFonts w:eastAsiaTheme="minorEastAsia"/>
              <w:noProof/>
              <w:lang w:eastAsia="ru-RU"/>
            </w:rPr>
          </w:pPr>
          <w:hyperlink w:anchor="_Toc409790644" w:history="1">
            <w:r w:rsidRPr="00D6763F">
              <w:rPr>
                <w:rStyle w:val="Hyperlink"/>
                <w:noProof/>
              </w:rPr>
              <w:t>IV.10</w:t>
            </w:r>
            <w:r w:rsidR="00851FE5">
              <w:rPr>
                <w:rStyle w:val="Hyperlink"/>
                <w:noProof/>
                <w:lang w:val="ro-RO"/>
              </w:rPr>
              <w:t>.</w:t>
            </w:r>
            <w:r w:rsidRPr="00D6763F">
              <w:rPr>
                <w:rStyle w:val="Hyperlink"/>
                <w:noProof/>
              </w:rPr>
              <w:t xml:space="preserve"> Prevederi discriminatorii</w:t>
            </w:r>
            <w:r>
              <w:rPr>
                <w:noProof/>
                <w:webHidden/>
              </w:rPr>
              <w:tab/>
            </w:r>
            <w:r>
              <w:rPr>
                <w:noProof/>
                <w:webHidden/>
              </w:rPr>
              <w:fldChar w:fldCharType="begin"/>
            </w:r>
            <w:r>
              <w:rPr>
                <w:noProof/>
                <w:webHidden/>
              </w:rPr>
              <w:instrText xml:space="preserve"> PAGEREF _Toc409790644 \h </w:instrText>
            </w:r>
            <w:r>
              <w:rPr>
                <w:noProof/>
                <w:webHidden/>
              </w:rPr>
            </w:r>
            <w:r>
              <w:rPr>
                <w:noProof/>
                <w:webHidden/>
              </w:rPr>
              <w:fldChar w:fldCharType="separate"/>
            </w:r>
            <w:r>
              <w:rPr>
                <w:noProof/>
                <w:webHidden/>
              </w:rPr>
              <w:t>42</w:t>
            </w:r>
            <w:r>
              <w:rPr>
                <w:noProof/>
                <w:webHidden/>
              </w:rPr>
              <w:fldChar w:fldCharType="end"/>
            </w:r>
          </w:hyperlink>
        </w:p>
        <w:p w:rsidR="008372DF" w:rsidRDefault="008372DF" w:rsidP="008372DF">
          <w:pPr>
            <w:pStyle w:val="TOC1"/>
            <w:tabs>
              <w:tab w:val="right" w:leader="dot" w:pos="9345"/>
            </w:tabs>
          </w:pPr>
          <w:hyperlink w:anchor="_Toc409790646" w:history="1">
            <w:r w:rsidRPr="00D6763F">
              <w:rPr>
                <w:rStyle w:val="Hyperlink"/>
                <w:noProof/>
                <w:lang w:val="ro-RO"/>
              </w:rPr>
              <w:t>CONCLUZII</w:t>
            </w:r>
            <w:r>
              <w:rPr>
                <w:noProof/>
                <w:webHidden/>
              </w:rPr>
              <w:tab/>
            </w:r>
            <w:r>
              <w:rPr>
                <w:noProof/>
                <w:webHidden/>
              </w:rPr>
              <w:fldChar w:fldCharType="begin"/>
            </w:r>
            <w:r>
              <w:rPr>
                <w:noProof/>
                <w:webHidden/>
              </w:rPr>
              <w:instrText xml:space="preserve"> PAGEREF _Toc409790646 \h </w:instrText>
            </w:r>
            <w:r>
              <w:rPr>
                <w:noProof/>
                <w:webHidden/>
              </w:rPr>
            </w:r>
            <w:r>
              <w:rPr>
                <w:noProof/>
                <w:webHidden/>
              </w:rPr>
              <w:fldChar w:fldCharType="separate"/>
            </w:r>
            <w:r>
              <w:rPr>
                <w:noProof/>
                <w:webHidden/>
              </w:rPr>
              <w:t>44</w:t>
            </w:r>
            <w:r>
              <w:rPr>
                <w:noProof/>
                <w:webHidden/>
              </w:rPr>
              <w:fldChar w:fldCharType="end"/>
            </w:r>
          </w:hyperlink>
          <w:r>
            <w:fldChar w:fldCharType="end"/>
          </w:r>
        </w:p>
      </w:sdtContent>
    </w:sdt>
    <w:p w:rsidR="005D5508" w:rsidRPr="004316F0" w:rsidRDefault="004F212E" w:rsidP="004316F0">
      <w:pPr>
        <w:pStyle w:val="Heading1"/>
        <w:rPr>
          <w:lang w:val="ro-RO"/>
        </w:rPr>
      </w:pPr>
      <w:bookmarkStart w:id="2" w:name="_Toc409790609"/>
      <w:r>
        <w:rPr>
          <w:lang w:val="ro-RO"/>
        </w:rPr>
        <w:t xml:space="preserve">LISTA </w:t>
      </w:r>
      <w:r w:rsidR="009E6232" w:rsidRPr="004316F0">
        <w:rPr>
          <w:lang w:val="ro-RO"/>
        </w:rPr>
        <w:t>ABREVIERI</w:t>
      </w:r>
      <w:r>
        <w:rPr>
          <w:lang w:val="ro-RO"/>
        </w:rPr>
        <w:t>LOR</w:t>
      </w:r>
      <w:r w:rsidR="009E6232" w:rsidRPr="004316F0">
        <w:rPr>
          <w:lang w:val="ro-RO"/>
        </w:rPr>
        <w:t>:</w:t>
      </w:r>
      <w:bookmarkEnd w:id="2"/>
    </w:p>
    <w:p w:rsidR="00985EBC" w:rsidRDefault="00985EBC">
      <w:pPr>
        <w:rPr>
          <w:rFonts w:asciiTheme="majorHAnsi" w:hAnsiTheme="majorHAnsi"/>
          <w:b/>
          <w:sz w:val="24"/>
          <w:szCs w:val="24"/>
          <w:lang w:val="ro-RO"/>
        </w:rPr>
      </w:pPr>
    </w:p>
    <w:p w:rsidR="005D5508" w:rsidRPr="00985EBC" w:rsidRDefault="005D5508">
      <w:pPr>
        <w:rPr>
          <w:rFonts w:asciiTheme="majorHAnsi" w:hAnsiTheme="majorHAnsi"/>
          <w:sz w:val="24"/>
          <w:szCs w:val="24"/>
          <w:lang w:val="ro-RO"/>
        </w:rPr>
      </w:pPr>
    </w:p>
    <w:tbl>
      <w:tblPr>
        <w:tblStyle w:val="TableGrid"/>
        <w:tblW w:w="0" w:type="auto"/>
        <w:tblInd w:w="-601" w:type="dxa"/>
        <w:tblLook w:val="04A0"/>
      </w:tblPr>
      <w:tblGrid>
        <w:gridCol w:w="4537"/>
        <w:gridCol w:w="2693"/>
      </w:tblGrid>
      <w:tr w:rsidR="005D5508" w:rsidRPr="00985EBC" w:rsidTr="001F70B3">
        <w:trPr>
          <w:trHeight w:val="844"/>
        </w:trPr>
        <w:tc>
          <w:tcPr>
            <w:tcW w:w="4537" w:type="dxa"/>
            <w:shd w:val="clear" w:color="auto" w:fill="B8CCE4" w:themeFill="accent1" w:themeFillTint="66"/>
          </w:tcPr>
          <w:p w:rsidR="005D5508" w:rsidRPr="001F70B3" w:rsidRDefault="00CD47D5">
            <w:pPr>
              <w:rPr>
                <w:rFonts w:asciiTheme="majorHAnsi" w:hAnsiTheme="majorHAnsi"/>
                <w:sz w:val="24"/>
                <w:szCs w:val="24"/>
                <w:lang w:val="ro-RO"/>
              </w:rPr>
            </w:pPr>
            <w:r w:rsidRPr="001F70B3">
              <w:rPr>
                <w:rFonts w:asciiTheme="majorHAnsi" w:hAnsiTheme="majorHAnsi"/>
                <w:sz w:val="24"/>
                <w:szCs w:val="24"/>
                <w:lang w:val="ro-RO"/>
              </w:rPr>
              <w:t>Centrul de Analiză şi Prevenire a Corupţiei</w:t>
            </w:r>
          </w:p>
        </w:tc>
        <w:tc>
          <w:tcPr>
            <w:tcW w:w="2693" w:type="dxa"/>
            <w:shd w:val="clear" w:color="auto" w:fill="DBE5F1" w:themeFill="accent1" w:themeFillTint="33"/>
          </w:tcPr>
          <w:p w:rsidR="005D5508" w:rsidRPr="00985EBC" w:rsidRDefault="00CD47D5" w:rsidP="005D5508">
            <w:pPr>
              <w:rPr>
                <w:rFonts w:asciiTheme="majorHAnsi" w:hAnsiTheme="majorHAnsi"/>
                <w:sz w:val="24"/>
                <w:szCs w:val="24"/>
                <w:lang w:val="ro-RO"/>
              </w:rPr>
            </w:pPr>
            <w:r w:rsidRPr="00985EBC">
              <w:rPr>
                <w:rFonts w:asciiTheme="majorHAnsi" w:hAnsiTheme="majorHAnsi"/>
                <w:sz w:val="24"/>
                <w:szCs w:val="24"/>
                <w:lang w:val="ro-RO"/>
              </w:rPr>
              <w:t>CAPC</w:t>
            </w:r>
          </w:p>
        </w:tc>
      </w:tr>
      <w:tr w:rsidR="00CD47D5" w:rsidRPr="00985EBC" w:rsidTr="001F70B3">
        <w:trPr>
          <w:trHeight w:val="844"/>
        </w:trPr>
        <w:tc>
          <w:tcPr>
            <w:tcW w:w="4537" w:type="dxa"/>
            <w:shd w:val="clear" w:color="auto" w:fill="B8CCE4" w:themeFill="accent1" w:themeFillTint="66"/>
          </w:tcPr>
          <w:p w:rsidR="00CD47D5" w:rsidRPr="001F70B3" w:rsidRDefault="00CD47D5" w:rsidP="00CD47D5">
            <w:pPr>
              <w:rPr>
                <w:rFonts w:asciiTheme="majorHAnsi" w:hAnsiTheme="majorHAnsi"/>
                <w:sz w:val="24"/>
                <w:szCs w:val="24"/>
                <w:lang w:val="ro-RO"/>
              </w:rPr>
            </w:pPr>
            <w:r w:rsidRPr="001F70B3">
              <w:rPr>
                <w:rFonts w:asciiTheme="majorHAnsi" w:hAnsiTheme="majorHAnsi"/>
                <w:sz w:val="24"/>
                <w:szCs w:val="24"/>
                <w:lang w:val="ro-RO"/>
              </w:rPr>
              <w:t>E-template de efectuare a expertizei legislaţiei din perspectiva drepturilor omului</w:t>
            </w:r>
          </w:p>
        </w:tc>
        <w:tc>
          <w:tcPr>
            <w:tcW w:w="2693" w:type="dxa"/>
            <w:shd w:val="clear" w:color="auto" w:fill="DBE5F1" w:themeFill="accent1" w:themeFillTint="33"/>
          </w:tcPr>
          <w:p w:rsidR="00CD47D5" w:rsidRPr="00985EBC" w:rsidRDefault="00CD47D5" w:rsidP="00CD47D5">
            <w:pPr>
              <w:rPr>
                <w:rFonts w:asciiTheme="majorHAnsi" w:hAnsiTheme="majorHAnsi"/>
                <w:sz w:val="24"/>
                <w:szCs w:val="24"/>
                <w:lang w:val="ro-RO"/>
              </w:rPr>
            </w:pPr>
            <w:r w:rsidRPr="00985EBC">
              <w:rPr>
                <w:rFonts w:asciiTheme="majorHAnsi" w:hAnsiTheme="majorHAnsi"/>
                <w:sz w:val="24"/>
                <w:szCs w:val="24"/>
                <w:lang w:val="ro-RO"/>
              </w:rPr>
              <w:t xml:space="preserve">E-template </w:t>
            </w:r>
          </w:p>
        </w:tc>
      </w:tr>
      <w:tr w:rsidR="00CD47D5" w:rsidRPr="00985EBC" w:rsidTr="001F70B3">
        <w:trPr>
          <w:trHeight w:val="844"/>
        </w:trPr>
        <w:tc>
          <w:tcPr>
            <w:tcW w:w="4537" w:type="dxa"/>
            <w:shd w:val="clear" w:color="auto" w:fill="B8CCE4" w:themeFill="accent1" w:themeFillTint="66"/>
          </w:tcPr>
          <w:p w:rsidR="00CD47D5" w:rsidRPr="001F70B3" w:rsidRDefault="00CD47D5">
            <w:pPr>
              <w:rPr>
                <w:rFonts w:asciiTheme="majorHAnsi" w:hAnsiTheme="majorHAnsi"/>
                <w:sz w:val="24"/>
                <w:szCs w:val="24"/>
                <w:lang w:val="ro-RO"/>
              </w:rPr>
            </w:pPr>
            <w:r w:rsidRPr="001F70B3">
              <w:rPr>
                <w:rFonts w:asciiTheme="majorHAnsi" w:hAnsiTheme="majorHAnsi" w:cs="Arial"/>
                <w:sz w:val="24"/>
                <w:szCs w:val="24"/>
                <w:lang w:val="ro-RO"/>
              </w:rPr>
              <w:t>Ghidul pentru efectuarea expertizei vulnerabilităţii proiectelor de acte normative prin prisma drepturilor omului şi egalităţii gender (în continuare - Ghidul)</w:t>
            </w:r>
          </w:p>
        </w:tc>
        <w:tc>
          <w:tcPr>
            <w:tcW w:w="2693" w:type="dxa"/>
            <w:shd w:val="clear" w:color="auto" w:fill="DBE5F1" w:themeFill="accent1" w:themeFillTint="33"/>
          </w:tcPr>
          <w:p w:rsidR="00CD47D5" w:rsidRPr="00985EBC" w:rsidRDefault="00CD47D5" w:rsidP="005D5508">
            <w:pPr>
              <w:rPr>
                <w:rFonts w:asciiTheme="majorHAnsi" w:hAnsiTheme="majorHAnsi"/>
                <w:sz w:val="24"/>
                <w:szCs w:val="24"/>
                <w:lang w:val="ro-RO"/>
              </w:rPr>
            </w:pPr>
            <w:r w:rsidRPr="00985EBC">
              <w:rPr>
                <w:rFonts w:asciiTheme="majorHAnsi" w:hAnsiTheme="majorHAnsi" w:cs="Arial"/>
                <w:sz w:val="24"/>
                <w:szCs w:val="24"/>
                <w:lang w:val="ro-RO"/>
              </w:rPr>
              <w:t xml:space="preserve">Ghidul </w:t>
            </w:r>
          </w:p>
        </w:tc>
      </w:tr>
      <w:tr w:rsidR="007A7329" w:rsidRPr="00985EBC" w:rsidTr="001F70B3">
        <w:trPr>
          <w:trHeight w:val="844"/>
        </w:trPr>
        <w:tc>
          <w:tcPr>
            <w:tcW w:w="4537" w:type="dxa"/>
            <w:shd w:val="clear" w:color="auto" w:fill="B8CCE4" w:themeFill="accent1" w:themeFillTint="66"/>
          </w:tcPr>
          <w:p w:rsidR="007A7329" w:rsidRPr="001F70B3" w:rsidRDefault="007A7329">
            <w:pPr>
              <w:rPr>
                <w:rFonts w:asciiTheme="majorHAnsi" w:hAnsiTheme="majorHAnsi" w:cs="Arial"/>
                <w:sz w:val="24"/>
                <w:szCs w:val="24"/>
                <w:lang w:val="ro-RO"/>
              </w:rPr>
            </w:pPr>
            <w:r w:rsidRPr="001F70B3">
              <w:rPr>
                <w:rFonts w:asciiTheme="majorHAnsi" w:hAnsiTheme="majorHAnsi" w:cs="Arial"/>
                <w:sz w:val="24"/>
                <w:szCs w:val="24"/>
                <w:lang w:val="ro-RO"/>
              </w:rPr>
              <w:t>Curtea Europeană a Drepturilor Omului</w:t>
            </w:r>
          </w:p>
        </w:tc>
        <w:tc>
          <w:tcPr>
            <w:tcW w:w="2693" w:type="dxa"/>
            <w:shd w:val="clear" w:color="auto" w:fill="DBE5F1" w:themeFill="accent1" w:themeFillTint="33"/>
          </w:tcPr>
          <w:p w:rsidR="007A7329" w:rsidRPr="00985EBC" w:rsidRDefault="007A7329" w:rsidP="005D5508">
            <w:pPr>
              <w:rPr>
                <w:rFonts w:asciiTheme="majorHAnsi" w:hAnsiTheme="majorHAnsi" w:cs="Arial"/>
                <w:sz w:val="24"/>
                <w:szCs w:val="24"/>
                <w:lang w:val="ro-RO"/>
              </w:rPr>
            </w:pPr>
            <w:r w:rsidRPr="00985EBC">
              <w:rPr>
                <w:rFonts w:asciiTheme="majorHAnsi" w:hAnsiTheme="majorHAnsi" w:cs="Arial"/>
                <w:sz w:val="24"/>
                <w:szCs w:val="24"/>
                <w:lang w:val="ro-RO"/>
              </w:rPr>
              <w:t>CtEDO</w:t>
            </w:r>
          </w:p>
        </w:tc>
      </w:tr>
      <w:tr w:rsidR="00CD47D5" w:rsidRPr="00985EBC" w:rsidTr="001F70B3">
        <w:trPr>
          <w:trHeight w:val="844"/>
        </w:trPr>
        <w:tc>
          <w:tcPr>
            <w:tcW w:w="4537" w:type="dxa"/>
            <w:shd w:val="clear" w:color="auto" w:fill="B8CCE4" w:themeFill="accent1" w:themeFillTint="66"/>
          </w:tcPr>
          <w:p w:rsidR="00CD47D5" w:rsidRPr="001F70B3" w:rsidRDefault="00CD47D5">
            <w:pPr>
              <w:rPr>
                <w:rFonts w:asciiTheme="majorHAnsi" w:hAnsiTheme="majorHAnsi" w:cs="Arial"/>
                <w:sz w:val="24"/>
                <w:szCs w:val="24"/>
                <w:lang w:val="ro-RO"/>
              </w:rPr>
            </w:pPr>
            <w:r w:rsidRPr="001F70B3">
              <w:rPr>
                <w:rFonts w:asciiTheme="majorHAnsi" w:hAnsiTheme="majorHAnsi" w:cs="Arial"/>
                <w:sz w:val="24"/>
                <w:szCs w:val="24"/>
                <w:lang w:val="ro-RO"/>
              </w:rPr>
              <w:t>Monitorul Oficial</w:t>
            </w:r>
          </w:p>
        </w:tc>
        <w:tc>
          <w:tcPr>
            <w:tcW w:w="2693" w:type="dxa"/>
            <w:shd w:val="clear" w:color="auto" w:fill="DBE5F1" w:themeFill="accent1" w:themeFillTint="33"/>
          </w:tcPr>
          <w:p w:rsidR="00CD47D5" w:rsidRPr="00985EBC" w:rsidRDefault="00CD47D5" w:rsidP="005D5508">
            <w:pPr>
              <w:rPr>
                <w:rFonts w:asciiTheme="majorHAnsi" w:hAnsiTheme="majorHAnsi" w:cs="Arial"/>
                <w:sz w:val="24"/>
                <w:szCs w:val="24"/>
                <w:lang w:val="ro-RO"/>
              </w:rPr>
            </w:pPr>
            <w:r w:rsidRPr="00985EBC">
              <w:rPr>
                <w:rFonts w:asciiTheme="majorHAnsi" w:hAnsiTheme="majorHAnsi" w:cs="Arial"/>
                <w:sz w:val="24"/>
                <w:szCs w:val="24"/>
                <w:lang w:val="ro-RO"/>
              </w:rPr>
              <w:t>MO</w:t>
            </w:r>
          </w:p>
        </w:tc>
      </w:tr>
      <w:tr w:rsidR="00DB2DE2" w:rsidRPr="00985EBC" w:rsidTr="001F70B3">
        <w:trPr>
          <w:trHeight w:val="844"/>
        </w:trPr>
        <w:tc>
          <w:tcPr>
            <w:tcW w:w="4537" w:type="dxa"/>
            <w:shd w:val="clear" w:color="auto" w:fill="B8CCE4" w:themeFill="accent1" w:themeFillTint="66"/>
          </w:tcPr>
          <w:p w:rsidR="00DB2DE2" w:rsidRPr="001F70B3" w:rsidRDefault="00DB2DE2" w:rsidP="00DB2DE2">
            <w:pPr>
              <w:rPr>
                <w:rFonts w:asciiTheme="majorHAnsi" w:hAnsiTheme="majorHAnsi" w:cs="Arial"/>
                <w:sz w:val="24"/>
                <w:szCs w:val="24"/>
                <w:lang w:val="ro-RO"/>
              </w:rPr>
            </w:pPr>
            <w:r w:rsidRPr="001F70B3">
              <w:rPr>
                <w:rFonts w:asciiTheme="majorHAnsi" w:hAnsiTheme="majorHAnsi" w:cs="Arial"/>
                <w:sz w:val="24"/>
                <w:szCs w:val="24"/>
                <w:lang w:val="ro-RO"/>
              </w:rPr>
              <w:t>Legea 780 – XV din 27.12.2001 privind actele legislative</w:t>
            </w:r>
          </w:p>
        </w:tc>
        <w:tc>
          <w:tcPr>
            <w:tcW w:w="2693" w:type="dxa"/>
            <w:shd w:val="clear" w:color="auto" w:fill="DBE5F1" w:themeFill="accent1" w:themeFillTint="33"/>
          </w:tcPr>
          <w:p w:rsidR="00DB2DE2" w:rsidRPr="00985EBC" w:rsidRDefault="00DB2DE2" w:rsidP="00DB2DE2">
            <w:pPr>
              <w:rPr>
                <w:rFonts w:asciiTheme="majorHAnsi" w:hAnsiTheme="majorHAnsi" w:cs="Arial"/>
                <w:sz w:val="24"/>
                <w:szCs w:val="24"/>
                <w:lang w:val="ro-RO"/>
              </w:rPr>
            </w:pPr>
            <w:r w:rsidRPr="00985EBC">
              <w:rPr>
                <w:rFonts w:asciiTheme="majorHAnsi" w:hAnsiTheme="majorHAnsi" w:cs="Arial"/>
                <w:sz w:val="24"/>
                <w:szCs w:val="24"/>
                <w:lang w:val="ro-RO"/>
              </w:rPr>
              <w:t>Legea privind actele legislative</w:t>
            </w:r>
          </w:p>
        </w:tc>
      </w:tr>
    </w:tbl>
    <w:p w:rsidR="005D5508" w:rsidRPr="00985EBC" w:rsidRDefault="005D5508">
      <w:pPr>
        <w:rPr>
          <w:rFonts w:asciiTheme="majorHAnsi" w:hAnsiTheme="majorHAnsi"/>
          <w:sz w:val="24"/>
          <w:szCs w:val="24"/>
          <w:lang w:val="ro-RO"/>
        </w:rPr>
      </w:pPr>
    </w:p>
    <w:p w:rsidR="005D5508" w:rsidRPr="00985EBC" w:rsidRDefault="005D5508">
      <w:pPr>
        <w:rPr>
          <w:rFonts w:asciiTheme="majorHAnsi" w:hAnsiTheme="majorHAnsi"/>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D5508" w:rsidRPr="00985EBC" w:rsidRDefault="005D5508">
      <w:pPr>
        <w:rPr>
          <w:rFonts w:asciiTheme="majorHAnsi" w:hAnsiTheme="majorHAnsi"/>
          <w:b/>
          <w:sz w:val="24"/>
          <w:szCs w:val="24"/>
          <w:lang w:val="ro-RO"/>
        </w:rPr>
      </w:pPr>
    </w:p>
    <w:p w:rsidR="005941C1" w:rsidRPr="00985EBC" w:rsidRDefault="00A32197" w:rsidP="007139C9">
      <w:pPr>
        <w:pStyle w:val="Heading1"/>
        <w:rPr>
          <w:lang w:val="ro-RO"/>
        </w:rPr>
      </w:pPr>
      <w:bookmarkStart w:id="3" w:name="_Toc409790610"/>
      <w:r w:rsidRPr="00985EBC">
        <w:rPr>
          <w:lang w:val="ro-RO"/>
        </w:rPr>
        <w:lastRenderedPageBreak/>
        <w:t xml:space="preserve">I. </w:t>
      </w:r>
      <w:r w:rsidRPr="007139C9">
        <w:t>CONSIDERAŢII</w:t>
      </w:r>
      <w:r w:rsidRPr="00985EBC">
        <w:rPr>
          <w:lang w:val="ro-RO"/>
        </w:rPr>
        <w:t xml:space="preserve"> GENERALE</w:t>
      </w:r>
      <w:bookmarkEnd w:id="3"/>
    </w:p>
    <w:p w:rsidR="00A32197" w:rsidRPr="00985EBC" w:rsidRDefault="00A32197">
      <w:pPr>
        <w:rPr>
          <w:rFonts w:asciiTheme="majorHAnsi" w:hAnsiTheme="majorHAnsi"/>
          <w:sz w:val="24"/>
          <w:szCs w:val="24"/>
          <w:lang w:val="ro-RO"/>
        </w:rPr>
      </w:pPr>
    </w:p>
    <w:p w:rsidR="008366CA" w:rsidRPr="00985EBC" w:rsidRDefault="008366CA" w:rsidP="008366CA">
      <w:pPr>
        <w:rPr>
          <w:rFonts w:asciiTheme="majorHAnsi" w:hAnsiTheme="majorHAnsi"/>
          <w:sz w:val="24"/>
          <w:szCs w:val="24"/>
          <w:lang w:val="ro-RO"/>
        </w:rPr>
      </w:pPr>
      <w:r w:rsidRPr="00985EBC">
        <w:rPr>
          <w:rFonts w:asciiTheme="majorHAnsi" w:hAnsiTheme="majorHAnsi"/>
          <w:sz w:val="24"/>
          <w:szCs w:val="24"/>
          <w:lang w:val="ro-RO"/>
        </w:rPr>
        <w:t>Studiul privind eficienţa expertizei legislaţiei din perspectiva drepturilor omului constituie o generalizare a activităţii Centrului de Analiză şi Prevenire a Corupţiei în acest domeniu, desfăşurată cu sprijinul Apărătorilor Drepturilor Civile din Suedia</w:t>
      </w:r>
      <w:r w:rsidR="005B1BF9">
        <w:rPr>
          <w:rFonts w:asciiTheme="majorHAnsi" w:hAnsiTheme="majorHAnsi"/>
          <w:sz w:val="24"/>
          <w:szCs w:val="24"/>
          <w:lang w:val="ro-RO"/>
        </w:rPr>
        <w:t>,</w:t>
      </w:r>
      <w:r w:rsidRPr="00985EBC">
        <w:rPr>
          <w:rFonts w:asciiTheme="majorHAnsi" w:hAnsiTheme="majorHAnsi"/>
          <w:sz w:val="24"/>
          <w:szCs w:val="24"/>
          <w:lang w:val="ro-RO"/>
        </w:rPr>
        <w:t xml:space="preserve"> în cadrul a trei proiecte consecutive, desfăşurate pe parcursul unui an </w:t>
      </w:r>
      <w:r w:rsidR="00F65FCB">
        <w:rPr>
          <w:rFonts w:asciiTheme="majorHAnsi" w:hAnsiTheme="majorHAnsi"/>
          <w:sz w:val="24"/>
          <w:szCs w:val="24"/>
          <w:lang w:val="ro-RO"/>
        </w:rPr>
        <w:t xml:space="preserve">şi </w:t>
      </w:r>
      <w:r w:rsidRPr="00985EBC">
        <w:rPr>
          <w:rFonts w:asciiTheme="majorHAnsi" w:hAnsiTheme="majorHAnsi"/>
          <w:sz w:val="24"/>
          <w:szCs w:val="24"/>
          <w:lang w:val="ro-RO"/>
        </w:rPr>
        <w:t>jumătate:   “Crearea instrumentelor pentru efectuarea expertizei legislaţiei din perspective drepturilor omului şi egalităţii gender”; "Expertiza vulnerabilităţii actelor normative p</w:t>
      </w:r>
      <w:r w:rsidR="005B1BF9">
        <w:rPr>
          <w:rFonts w:asciiTheme="majorHAnsi" w:hAnsiTheme="majorHAnsi"/>
          <w:sz w:val="24"/>
          <w:szCs w:val="24"/>
          <w:lang w:val="ro-RO"/>
        </w:rPr>
        <w:t xml:space="preserve">rin prisma drepturilor omului" şi </w:t>
      </w:r>
      <w:r w:rsidRPr="00985EBC">
        <w:rPr>
          <w:rFonts w:asciiTheme="majorHAnsi" w:hAnsiTheme="majorHAnsi"/>
          <w:sz w:val="24"/>
          <w:szCs w:val="24"/>
          <w:lang w:val="ro-RO"/>
        </w:rPr>
        <w:t xml:space="preserve">„Armonizarea legislaţiei la standardele internaţionale în domeniul drepturilor omului”.   </w:t>
      </w:r>
    </w:p>
    <w:p w:rsidR="008366CA" w:rsidRPr="00985EBC" w:rsidRDefault="008366CA" w:rsidP="008366CA">
      <w:pPr>
        <w:rPr>
          <w:rFonts w:asciiTheme="majorHAnsi" w:hAnsiTheme="majorHAnsi"/>
          <w:sz w:val="24"/>
          <w:szCs w:val="24"/>
          <w:lang w:val="ro-RO"/>
        </w:rPr>
      </w:pPr>
    </w:p>
    <w:p w:rsidR="00AE2EA9" w:rsidRPr="00985EBC" w:rsidRDefault="00A32197">
      <w:pPr>
        <w:rPr>
          <w:rFonts w:asciiTheme="majorHAnsi" w:hAnsiTheme="majorHAnsi"/>
          <w:sz w:val="24"/>
          <w:szCs w:val="24"/>
          <w:lang w:val="ro-RO"/>
        </w:rPr>
      </w:pPr>
      <w:r w:rsidRPr="00985EBC">
        <w:rPr>
          <w:rFonts w:asciiTheme="majorHAnsi" w:hAnsiTheme="majorHAnsi"/>
          <w:sz w:val="24"/>
          <w:szCs w:val="24"/>
          <w:lang w:val="ro-RO"/>
        </w:rPr>
        <w:t>În Capitolul I sunt prezentate de o manieră succintă premisele şi etapele efectuării expertizei proiectelor actelor normative din perspectiva drepturilor omului</w:t>
      </w:r>
      <w:r w:rsidR="00751B04" w:rsidRPr="00985EBC">
        <w:rPr>
          <w:rFonts w:asciiTheme="majorHAnsi" w:hAnsiTheme="majorHAnsi"/>
          <w:sz w:val="24"/>
          <w:szCs w:val="24"/>
          <w:lang w:val="ro-RO"/>
        </w:rPr>
        <w:t>.</w:t>
      </w:r>
    </w:p>
    <w:p w:rsidR="00F56431" w:rsidRPr="00343F61" w:rsidRDefault="00F56431" w:rsidP="00343F61">
      <w:pPr>
        <w:pStyle w:val="Heading1"/>
        <w:rPr>
          <w:sz w:val="24"/>
          <w:szCs w:val="24"/>
          <w:lang w:val="ro-RO"/>
        </w:rPr>
      </w:pPr>
      <w:bookmarkStart w:id="4" w:name="_Toc409790611"/>
      <w:r w:rsidRPr="00343F61">
        <w:rPr>
          <w:sz w:val="24"/>
          <w:szCs w:val="24"/>
          <w:lang w:val="ro-RO"/>
        </w:rPr>
        <w:t>I.1 Premisele expertizei</w:t>
      </w:r>
      <w:r w:rsidR="00A80AFC" w:rsidRPr="00343F61">
        <w:rPr>
          <w:sz w:val="24"/>
          <w:szCs w:val="24"/>
          <w:lang w:val="ro-RO"/>
        </w:rPr>
        <w:t xml:space="preserve"> legislaţiei din perspectiva drepturilor omului</w:t>
      </w:r>
      <w:bookmarkEnd w:id="4"/>
    </w:p>
    <w:p w:rsidR="00E30818" w:rsidRPr="00985EBC" w:rsidRDefault="00E30818">
      <w:pPr>
        <w:rPr>
          <w:lang w:val="ro-RO"/>
        </w:rPr>
      </w:pPr>
    </w:p>
    <w:p w:rsidR="002A6D54" w:rsidRPr="00985EBC" w:rsidRDefault="002A6D54" w:rsidP="002A6D54">
      <w:pPr>
        <w:tabs>
          <w:tab w:val="left" w:pos="360"/>
        </w:tabs>
        <w:rPr>
          <w:rFonts w:ascii="Cambria" w:hAnsi="Cambria" w:cs="Arial"/>
          <w:color w:val="000000"/>
          <w:sz w:val="24"/>
          <w:szCs w:val="24"/>
          <w:shd w:val="clear" w:color="auto" w:fill="FFFFFF"/>
          <w:lang w:val="ro-RO"/>
        </w:rPr>
      </w:pPr>
      <w:r w:rsidRPr="00985EBC">
        <w:rPr>
          <w:rFonts w:ascii="Cambria" w:hAnsi="Cambria" w:cs="Arial"/>
          <w:color w:val="000000"/>
          <w:sz w:val="24"/>
          <w:szCs w:val="24"/>
          <w:shd w:val="clear" w:color="auto" w:fill="FFFFFF"/>
          <w:lang w:val="ro-RO"/>
        </w:rPr>
        <w:t xml:space="preserve">De la proclamarea independenţei, Republica Moldova a ratificat şi a aderat la </w:t>
      </w:r>
      <w:r w:rsidR="00171EA1" w:rsidRPr="00985EBC">
        <w:rPr>
          <w:rFonts w:ascii="Cambria" w:hAnsi="Cambria" w:cs="Arial"/>
          <w:color w:val="000000"/>
          <w:sz w:val="24"/>
          <w:szCs w:val="24"/>
          <w:shd w:val="clear" w:color="auto" w:fill="FFFFFF"/>
          <w:lang w:val="ro-RO"/>
        </w:rPr>
        <w:t xml:space="preserve">multiple instrumente internaţionale, </w:t>
      </w:r>
      <w:r w:rsidRPr="00985EBC">
        <w:rPr>
          <w:rFonts w:ascii="Cambria" w:hAnsi="Cambria" w:cs="Arial"/>
          <w:color w:val="000000"/>
          <w:sz w:val="24"/>
          <w:szCs w:val="24"/>
          <w:shd w:val="clear" w:color="auto" w:fill="FFFFFF"/>
          <w:lang w:val="ro-RO"/>
        </w:rPr>
        <w:t xml:space="preserve">consacrate drepturilor fundamentale ale omului. </w:t>
      </w:r>
      <w:r w:rsidR="00171EA1" w:rsidRPr="00985EBC">
        <w:rPr>
          <w:rFonts w:ascii="Cambria" w:hAnsi="Cambria" w:cs="Arial"/>
          <w:color w:val="000000"/>
          <w:sz w:val="24"/>
          <w:szCs w:val="24"/>
          <w:shd w:val="clear" w:color="auto" w:fill="FFFFFF"/>
          <w:lang w:val="ro-RO"/>
        </w:rPr>
        <w:t xml:space="preserve">În acest fel, </w:t>
      </w:r>
      <w:r w:rsidRPr="00985EBC">
        <w:rPr>
          <w:rFonts w:ascii="Cambria" w:hAnsi="Cambria" w:cs="Arial"/>
          <w:color w:val="000000"/>
          <w:sz w:val="24"/>
          <w:szCs w:val="24"/>
          <w:shd w:val="clear" w:color="auto" w:fill="FFFFFF"/>
          <w:lang w:val="ro-RO"/>
        </w:rPr>
        <w:t>ţara noastră s-a angajat să asigure respectarea drepturilor omului – valoarea supremă a s</w:t>
      </w:r>
      <w:r w:rsidR="00171EA1" w:rsidRPr="00985EBC">
        <w:rPr>
          <w:rFonts w:ascii="Cambria" w:hAnsi="Cambria" w:cs="Arial"/>
          <w:color w:val="000000"/>
          <w:sz w:val="24"/>
          <w:szCs w:val="24"/>
          <w:shd w:val="clear" w:color="auto" w:fill="FFFFFF"/>
          <w:lang w:val="ro-RO"/>
        </w:rPr>
        <w:t>tatului de drept,  iar</w:t>
      </w:r>
      <w:r w:rsidRPr="00985EBC">
        <w:rPr>
          <w:rFonts w:ascii="Cambria" w:hAnsi="Cambria" w:cs="Arial"/>
          <w:color w:val="000000"/>
          <w:sz w:val="24"/>
          <w:szCs w:val="24"/>
          <w:shd w:val="clear" w:color="auto" w:fill="FFFFFF"/>
          <w:lang w:val="ro-RO"/>
        </w:rPr>
        <w:t xml:space="preserve"> </w:t>
      </w:r>
      <w:r w:rsidR="00171EA1" w:rsidRPr="00985EBC">
        <w:rPr>
          <w:rFonts w:ascii="Cambria" w:hAnsi="Cambria" w:cs="Arial"/>
          <w:color w:val="000000"/>
          <w:sz w:val="24"/>
          <w:szCs w:val="24"/>
          <w:shd w:val="clear" w:color="auto" w:fill="FFFFFF"/>
          <w:lang w:val="ro-RO"/>
        </w:rPr>
        <w:t>a</w:t>
      </w:r>
      <w:r w:rsidRPr="00985EBC">
        <w:rPr>
          <w:rFonts w:ascii="Cambria" w:hAnsi="Cambria" w:cs="Arial"/>
          <w:color w:val="000000"/>
          <w:sz w:val="24"/>
          <w:szCs w:val="24"/>
          <w:shd w:val="clear" w:color="auto" w:fill="FFFFFF"/>
          <w:lang w:val="ro-RO"/>
        </w:rPr>
        <w:t>ngajamentele asumate la nivel internaţional urmează a fi valorificate la nivel naţional</w:t>
      </w:r>
      <w:r w:rsidR="00847C17" w:rsidRPr="00985EBC">
        <w:rPr>
          <w:rFonts w:ascii="Cambria" w:hAnsi="Cambria" w:cs="Arial"/>
          <w:color w:val="000000"/>
          <w:sz w:val="24"/>
          <w:szCs w:val="24"/>
          <w:shd w:val="clear" w:color="auto" w:fill="FFFFFF"/>
          <w:lang w:val="ro-RO"/>
        </w:rPr>
        <w:t>,</w:t>
      </w:r>
      <w:r w:rsidRPr="00985EBC">
        <w:rPr>
          <w:rFonts w:ascii="Cambria" w:hAnsi="Cambria" w:cs="Arial"/>
          <w:color w:val="000000"/>
          <w:sz w:val="24"/>
          <w:szCs w:val="24"/>
          <w:shd w:val="clear" w:color="auto" w:fill="FFFFFF"/>
          <w:lang w:val="ro-RO"/>
        </w:rPr>
        <w:t xml:space="preserve"> prin adoptarea un</w:t>
      </w:r>
      <w:r w:rsidR="00847C17" w:rsidRPr="00985EBC">
        <w:rPr>
          <w:rFonts w:ascii="Cambria" w:hAnsi="Cambria" w:cs="Arial"/>
          <w:color w:val="000000"/>
          <w:sz w:val="24"/>
          <w:szCs w:val="24"/>
          <w:shd w:val="clear" w:color="auto" w:fill="FFFFFF"/>
          <w:lang w:val="ro-RO"/>
        </w:rPr>
        <w:t>ui cadru</w:t>
      </w:r>
      <w:r w:rsidRPr="00985EBC">
        <w:rPr>
          <w:rFonts w:ascii="Cambria" w:hAnsi="Cambria" w:cs="Arial"/>
          <w:color w:val="000000"/>
          <w:sz w:val="24"/>
          <w:szCs w:val="24"/>
          <w:shd w:val="clear" w:color="auto" w:fill="FFFFFF"/>
          <w:lang w:val="ro-RO"/>
        </w:rPr>
        <w:t xml:space="preserve"> </w:t>
      </w:r>
      <w:r w:rsidR="00847C17" w:rsidRPr="00985EBC">
        <w:rPr>
          <w:rFonts w:ascii="Cambria" w:hAnsi="Cambria" w:cs="Arial"/>
          <w:color w:val="000000"/>
          <w:sz w:val="24"/>
          <w:szCs w:val="24"/>
          <w:shd w:val="clear" w:color="auto" w:fill="FFFFFF"/>
          <w:lang w:val="ro-RO"/>
        </w:rPr>
        <w:t>legal corespunzător.</w:t>
      </w:r>
      <w:r w:rsidRPr="00985EBC">
        <w:rPr>
          <w:rFonts w:ascii="Cambria" w:hAnsi="Cambria" w:cs="Arial"/>
          <w:color w:val="000000"/>
          <w:sz w:val="24"/>
          <w:szCs w:val="24"/>
          <w:shd w:val="clear" w:color="auto" w:fill="FFFFFF"/>
          <w:lang w:val="ro-RO"/>
        </w:rPr>
        <w:t xml:space="preserve"> </w:t>
      </w:r>
    </w:p>
    <w:p w:rsidR="002A6D54" w:rsidRPr="00985EBC" w:rsidRDefault="002A6D54" w:rsidP="002A6D54">
      <w:pPr>
        <w:tabs>
          <w:tab w:val="left" w:pos="360"/>
        </w:tabs>
        <w:rPr>
          <w:rFonts w:ascii="Cambria" w:hAnsi="Cambria" w:cs="Arial"/>
          <w:color w:val="000000"/>
          <w:sz w:val="24"/>
          <w:szCs w:val="24"/>
          <w:shd w:val="clear" w:color="auto" w:fill="FFFFFF"/>
          <w:lang w:val="ro-RO"/>
        </w:rPr>
      </w:pPr>
    </w:p>
    <w:p w:rsidR="002A6D54" w:rsidRPr="00985EBC" w:rsidRDefault="00936994" w:rsidP="002A6D54">
      <w:pPr>
        <w:tabs>
          <w:tab w:val="left" w:pos="360"/>
        </w:tabs>
        <w:rPr>
          <w:rFonts w:ascii="Cambria" w:hAnsi="Cambria" w:cs="Arial"/>
          <w:color w:val="000000"/>
          <w:sz w:val="24"/>
          <w:szCs w:val="24"/>
          <w:shd w:val="clear" w:color="auto" w:fill="FFFFFF"/>
          <w:lang w:val="ro-RO"/>
        </w:rPr>
      </w:pPr>
      <w:r w:rsidRPr="00985EBC">
        <w:rPr>
          <w:rFonts w:ascii="Cambria" w:hAnsi="Cambria" w:cs="Arial"/>
          <w:color w:val="000000"/>
          <w:sz w:val="24"/>
          <w:szCs w:val="24"/>
          <w:shd w:val="clear" w:color="auto" w:fill="FFFFFF"/>
          <w:lang w:val="ro-RO"/>
        </w:rPr>
        <w:t>Deşi r</w:t>
      </w:r>
      <w:r w:rsidR="002A6D54" w:rsidRPr="00985EBC">
        <w:rPr>
          <w:rFonts w:ascii="Cambria" w:hAnsi="Cambria" w:cs="Arial"/>
          <w:color w:val="000000"/>
          <w:sz w:val="24"/>
          <w:szCs w:val="24"/>
          <w:shd w:val="clear" w:color="auto" w:fill="FFFFFF"/>
          <w:lang w:val="ro-RO"/>
        </w:rPr>
        <w:t>espectarea drepturilor omului în Republica Mol</w:t>
      </w:r>
      <w:r w:rsidRPr="00985EBC">
        <w:rPr>
          <w:rFonts w:ascii="Cambria" w:hAnsi="Cambria" w:cs="Arial"/>
          <w:color w:val="000000"/>
          <w:sz w:val="24"/>
          <w:szCs w:val="24"/>
          <w:shd w:val="clear" w:color="auto" w:fill="FFFFFF"/>
          <w:lang w:val="ro-RO"/>
        </w:rPr>
        <w:t>dova este monitorizată constant</w:t>
      </w:r>
      <w:r w:rsidR="002A6D54" w:rsidRPr="00985EBC">
        <w:rPr>
          <w:rFonts w:ascii="Cambria" w:hAnsi="Cambria" w:cs="Arial"/>
          <w:color w:val="000000"/>
          <w:sz w:val="24"/>
          <w:szCs w:val="24"/>
          <w:shd w:val="clear" w:color="auto" w:fill="FFFFFF"/>
          <w:lang w:val="ro-RO"/>
        </w:rPr>
        <w:t xml:space="preserve"> </w:t>
      </w:r>
      <w:r w:rsidRPr="00985EBC">
        <w:rPr>
          <w:rFonts w:ascii="Cambria" w:hAnsi="Cambria" w:cs="Arial"/>
          <w:color w:val="000000"/>
          <w:sz w:val="24"/>
          <w:szCs w:val="24"/>
          <w:shd w:val="clear" w:color="auto" w:fill="FFFFFF"/>
          <w:lang w:val="ro-RO"/>
        </w:rPr>
        <w:t xml:space="preserve"> de structurile internaţionale</w:t>
      </w:r>
      <w:r w:rsidR="002A6D54" w:rsidRPr="00985EBC">
        <w:rPr>
          <w:rFonts w:ascii="Cambria" w:hAnsi="Cambria" w:cs="Arial"/>
          <w:color w:val="000000"/>
          <w:sz w:val="24"/>
          <w:szCs w:val="24"/>
          <w:shd w:val="clear" w:color="auto" w:fill="FFFFFF"/>
          <w:lang w:val="ro-RO"/>
        </w:rPr>
        <w:t>,  instituţiile publice şi societatea civilă la nivel naţional</w:t>
      </w:r>
      <w:r w:rsidRPr="00985EBC">
        <w:rPr>
          <w:rFonts w:ascii="Cambria" w:hAnsi="Cambria" w:cs="Arial"/>
          <w:color w:val="000000"/>
          <w:sz w:val="24"/>
          <w:szCs w:val="24"/>
          <w:shd w:val="clear" w:color="auto" w:fill="FFFFFF"/>
          <w:lang w:val="ro-RO"/>
        </w:rPr>
        <w:t xml:space="preserve">, iar </w:t>
      </w:r>
      <w:r w:rsidR="002A6D54" w:rsidRPr="00985EBC">
        <w:rPr>
          <w:rFonts w:ascii="Cambria" w:hAnsi="Cambria" w:cs="Arial"/>
          <w:color w:val="000000"/>
          <w:sz w:val="24"/>
          <w:szCs w:val="24"/>
          <w:shd w:val="clear" w:color="auto" w:fill="FFFFFF"/>
          <w:lang w:val="ro-RO"/>
        </w:rPr>
        <w:t xml:space="preserve"> autorităţile publice afirmă că drepturile omului din ţara noastră sînt asigurate, rapoartele externe de monitorizare, dar şi hotărîrile Curţii Europene pentru Drepturile Omului, constată frecvent limitarea şi</w:t>
      </w:r>
      <w:r w:rsidRPr="00985EBC">
        <w:rPr>
          <w:rFonts w:ascii="Cambria" w:hAnsi="Cambria" w:cs="Arial"/>
          <w:color w:val="000000"/>
          <w:sz w:val="24"/>
          <w:szCs w:val="24"/>
          <w:shd w:val="clear" w:color="auto" w:fill="FFFFFF"/>
          <w:lang w:val="ro-RO"/>
        </w:rPr>
        <w:t xml:space="preserve">/sau </w:t>
      </w:r>
      <w:r w:rsidR="002A6D54" w:rsidRPr="00985EBC">
        <w:rPr>
          <w:rFonts w:ascii="Cambria" w:hAnsi="Cambria" w:cs="Arial"/>
          <w:color w:val="000000"/>
          <w:sz w:val="24"/>
          <w:szCs w:val="24"/>
          <w:shd w:val="clear" w:color="auto" w:fill="FFFFFF"/>
          <w:lang w:val="ro-RO"/>
        </w:rPr>
        <w:t xml:space="preserve"> lezarea drepturilor fundamentale ale persoan</w:t>
      </w:r>
      <w:r w:rsidRPr="00985EBC">
        <w:rPr>
          <w:rFonts w:ascii="Cambria" w:hAnsi="Cambria" w:cs="Arial"/>
          <w:color w:val="000000"/>
          <w:sz w:val="24"/>
          <w:szCs w:val="24"/>
          <w:shd w:val="clear" w:color="auto" w:fill="FFFFFF"/>
          <w:lang w:val="ro-RO"/>
        </w:rPr>
        <w:t>ei</w:t>
      </w:r>
      <w:r w:rsidR="002A6D54" w:rsidRPr="00985EBC">
        <w:rPr>
          <w:rFonts w:ascii="Cambria" w:hAnsi="Cambria" w:cs="Arial"/>
          <w:color w:val="000000"/>
          <w:sz w:val="24"/>
          <w:szCs w:val="24"/>
          <w:shd w:val="clear" w:color="auto" w:fill="FFFFFF"/>
          <w:lang w:val="ro-RO"/>
        </w:rPr>
        <w:t xml:space="preserve">. Există multiple cauze a </w:t>
      </w:r>
      <w:r w:rsidR="00130D4D" w:rsidRPr="00985EBC">
        <w:rPr>
          <w:rFonts w:ascii="Cambria" w:hAnsi="Cambria" w:cs="Arial"/>
          <w:color w:val="000000"/>
          <w:sz w:val="24"/>
          <w:szCs w:val="24"/>
          <w:shd w:val="clear" w:color="auto" w:fill="FFFFFF"/>
          <w:lang w:val="ro-RO"/>
        </w:rPr>
        <w:t>acestei</w:t>
      </w:r>
      <w:r w:rsidR="002A6D54" w:rsidRPr="00985EBC">
        <w:rPr>
          <w:rFonts w:ascii="Cambria" w:hAnsi="Cambria" w:cs="Arial"/>
          <w:color w:val="000000"/>
          <w:sz w:val="24"/>
          <w:szCs w:val="24"/>
          <w:shd w:val="clear" w:color="auto" w:fill="FFFFFF"/>
          <w:lang w:val="ro-RO"/>
        </w:rPr>
        <w:t xml:space="preserve"> stări de lucruri</w:t>
      </w:r>
      <w:r w:rsidR="00130D4D" w:rsidRPr="00985EBC">
        <w:rPr>
          <w:rFonts w:ascii="Cambria" w:hAnsi="Cambria" w:cs="Arial"/>
          <w:color w:val="000000"/>
          <w:sz w:val="24"/>
          <w:szCs w:val="24"/>
          <w:shd w:val="clear" w:color="auto" w:fill="FFFFFF"/>
          <w:lang w:val="ro-RO"/>
        </w:rPr>
        <w:t xml:space="preserve">, printre care </w:t>
      </w:r>
      <w:r w:rsidR="002A6D54" w:rsidRPr="00985EBC">
        <w:rPr>
          <w:rFonts w:ascii="Cambria" w:hAnsi="Cambria" w:cs="Arial"/>
          <w:color w:val="000000"/>
          <w:sz w:val="24"/>
          <w:szCs w:val="24"/>
          <w:shd w:val="clear" w:color="auto" w:fill="FFFFFF"/>
          <w:lang w:val="ro-RO"/>
        </w:rPr>
        <w:t xml:space="preserve">şi </w:t>
      </w:r>
      <w:r w:rsidR="00130D4D" w:rsidRPr="00985EBC">
        <w:rPr>
          <w:rFonts w:ascii="Cambria" w:hAnsi="Cambria" w:cs="Arial"/>
          <w:color w:val="000000"/>
          <w:sz w:val="24"/>
          <w:szCs w:val="24"/>
          <w:shd w:val="clear" w:color="auto" w:fill="FFFFFF"/>
          <w:lang w:val="ro-RO"/>
        </w:rPr>
        <w:t>imperfecţiunea legislaţiei.</w:t>
      </w:r>
      <w:r w:rsidR="002A6D54" w:rsidRPr="00985EBC">
        <w:rPr>
          <w:rStyle w:val="FootnoteReference"/>
          <w:rFonts w:ascii="Cambria" w:hAnsi="Cambria" w:cs="Arial"/>
          <w:color w:val="000000"/>
          <w:sz w:val="24"/>
          <w:szCs w:val="24"/>
          <w:shd w:val="clear" w:color="auto" w:fill="FFFFFF"/>
          <w:lang w:val="ro-RO"/>
        </w:rPr>
        <w:footnoteReference w:id="1"/>
      </w:r>
      <w:r w:rsidR="002A6D54" w:rsidRPr="00985EBC">
        <w:rPr>
          <w:rFonts w:ascii="Cambria" w:hAnsi="Cambria" w:cs="Arial"/>
          <w:color w:val="000000"/>
          <w:sz w:val="24"/>
          <w:szCs w:val="24"/>
          <w:shd w:val="clear" w:color="auto" w:fill="FFFFFF"/>
          <w:lang w:val="ro-RO"/>
        </w:rPr>
        <w:t xml:space="preserve"> </w:t>
      </w:r>
    </w:p>
    <w:p w:rsidR="00F52EB2" w:rsidRPr="00985EBC" w:rsidRDefault="00F52EB2">
      <w:pPr>
        <w:rPr>
          <w:rFonts w:asciiTheme="majorHAnsi" w:hAnsiTheme="majorHAnsi"/>
          <w:sz w:val="24"/>
          <w:szCs w:val="24"/>
          <w:lang w:val="ro-RO"/>
        </w:rPr>
      </w:pPr>
    </w:p>
    <w:p w:rsidR="00504ABC" w:rsidRPr="00985EBC" w:rsidRDefault="00504ABC" w:rsidP="00504ABC">
      <w:pPr>
        <w:rPr>
          <w:rFonts w:asciiTheme="majorHAnsi" w:hAnsiTheme="majorHAnsi"/>
          <w:sz w:val="24"/>
          <w:szCs w:val="24"/>
          <w:lang w:val="ro-RO"/>
        </w:rPr>
      </w:pPr>
      <w:r w:rsidRPr="00985EBC">
        <w:rPr>
          <w:rFonts w:asciiTheme="majorHAnsi" w:hAnsiTheme="majorHAnsi"/>
          <w:sz w:val="24"/>
          <w:szCs w:val="24"/>
          <w:lang w:val="ro-RO"/>
        </w:rPr>
        <w:t xml:space="preserve">Avînd la bază aceste motive, CAPC a iniţiat expertiza legislaţiei din perspectiva drepturilor omului, care este realizată, potrivit unui model deja testat de CAPC – expertiza coruptibilităţii legislaţiei. </w:t>
      </w:r>
    </w:p>
    <w:p w:rsidR="00710E75" w:rsidRPr="00985EBC" w:rsidRDefault="00710E75" w:rsidP="00504ABC">
      <w:pPr>
        <w:rPr>
          <w:rFonts w:asciiTheme="majorHAnsi" w:hAnsiTheme="majorHAnsi"/>
          <w:sz w:val="24"/>
          <w:szCs w:val="24"/>
          <w:lang w:val="ro-RO"/>
        </w:rPr>
      </w:pPr>
    </w:p>
    <w:p w:rsidR="00710E75" w:rsidRPr="00985EBC" w:rsidRDefault="00710E75" w:rsidP="00504ABC">
      <w:pPr>
        <w:rPr>
          <w:rFonts w:asciiTheme="majorHAnsi" w:hAnsiTheme="majorHAnsi"/>
          <w:sz w:val="24"/>
          <w:szCs w:val="24"/>
          <w:lang w:val="ro-RO"/>
        </w:rPr>
      </w:pPr>
      <w:r w:rsidRPr="00985EBC">
        <w:rPr>
          <w:rFonts w:asciiTheme="majorHAnsi" w:hAnsiTheme="majorHAnsi"/>
          <w:sz w:val="24"/>
          <w:szCs w:val="24"/>
          <w:lang w:val="ro-RO"/>
        </w:rPr>
        <w:t>Principalele precondiţii pentru implementarea expertizei legislaţiei din perspectiva drepturilor omului sînt:</w:t>
      </w:r>
    </w:p>
    <w:p w:rsidR="00815BA1" w:rsidRPr="00985EBC" w:rsidRDefault="00815BA1" w:rsidP="00815BA1">
      <w:pPr>
        <w:pStyle w:val="ListParagraph"/>
        <w:numPr>
          <w:ilvl w:val="0"/>
          <w:numId w:val="25"/>
        </w:numPr>
        <w:rPr>
          <w:rFonts w:asciiTheme="majorHAnsi" w:eastAsiaTheme="minorHAnsi" w:hAnsiTheme="majorHAnsi"/>
          <w:lang w:val="ro-RO"/>
        </w:rPr>
      </w:pPr>
      <w:r w:rsidRPr="00985EBC">
        <w:rPr>
          <w:rFonts w:asciiTheme="majorHAnsi" w:eastAsiaTheme="minorHAnsi" w:hAnsiTheme="majorHAnsi"/>
          <w:lang w:val="ro-RO"/>
        </w:rPr>
        <w:t xml:space="preserve">Legea nr. 239-XVI  din  13.11.2008 privind transparenţa în procesul </w:t>
      </w:r>
      <w:r w:rsidRPr="00985EBC">
        <w:rPr>
          <w:rFonts w:asciiTheme="majorHAnsi" w:hAnsiTheme="majorHAnsi"/>
          <w:lang w:val="ro-RO"/>
        </w:rPr>
        <w:t>decisional;</w:t>
      </w:r>
      <w:r w:rsidRPr="00985EBC">
        <w:rPr>
          <w:rFonts w:asciiTheme="majorHAnsi" w:eastAsiaTheme="minorHAnsi" w:hAnsiTheme="majorHAnsi"/>
          <w:lang w:val="ro-RO"/>
        </w:rPr>
        <w:t xml:space="preserve"> </w:t>
      </w:r>
    </w:p>
    <w:p w:rsidR="00710E75" w:rsidRPr="00985EBC" w:rsidRDefault="00710E75" w:rsidP="00815BA1">
      <w:pPr>
        <w:pStyle w:val="ListParagraph"/>
        <w:numPr>
          <w:ilvl w:val="0"/>
          <w:numId w:val="25"/>
        </w:numPr>
        <w:rPr>
          <w:rFonts w:asciiTheme="majorHAnsi" w:hAnsiTheme="majorHAnsi"/>
          <w:lang w:val="ro-RO"/>
        </w:rPr>
      </w:pPr>
      <w:r w:rsidRPr="00985EBC">
        <w:rPr>
          <w:rFonts w:asciiTheme="majorHAnsi" w:hAnsiTheme="majorHAnsi"/>
          <w:lang w:val="ro-RO"/>
        </w:rPr>
        <w:t>Concepţia privind cooperarea dintre Parlament şi societatea civilă (aprobată prin Hotărîrea Parlamentului nr.373-XVI din 29.12.2005)</w:t>
      </w:r>
      <w:r w:rsidR="00815BA1" w:rsidRPr="00985EBC">
        <w:rPr>
          <w:rFonts w:asciiTheme="majorHAnsi" w:hAnsiTheme="majorHAnsi"/>
          <w:lang w:val="ro-RO"/>
        </w:rPr>
        <w:t>;</w:t>
      </w:r>
    </w:p>
    <w:p w:rsidR="00710E75" w:rsidRPr="00985EBC" w:rsidRDefault="00815BA1" w:rsidP="00815BA1">
      <w:pPr>
        <w:pStyle w:val="ListParagraph"/>
        <w:numPr>
          <w:ilvl w:val="0"/>
          <w:numId w:val="25"/>
        </w:numPr>
        <w:rPr>
          <w:rFonts w:asciiTheme="majorHAnsi" w:hAnsiTheme="majorHAnsi"/>
          <w:lang w:val="ro-RO"/>
        </w:rPr>
      </w:pPr>
      <w:r w:rsidRPr="00985EBC">
        <w:rPr>
          <w:rFonts w:asciiTheme="majorHAnsi" w:hAnsiTheme="majorHAnsi"/>
          <w:lang w:val="ro-RO"/>
        </w:rPr>
        <w:t xml:space="preserve">Plasarea de către Parlament a proiectelor de legi pe site-ul </w:t>
      </w:r>
      <w:hyperlink r:id="rId11" w:history="1">
        <w:r w:rsidRPr="00985EBC">
          <w:rPr>
            <w:rStyle w:val="Hyperlink"/>
            <w:rFonts w:asciiTheme="majorHAnsi" w:hAnsiTheme="majorHAnsi"/>
            <w:lang w:val="ro-RO"/>
          </w:rPr>
          <w:t>www.parlament.md</w:t>
        </w:r>
      </w:hyperlink>
      <w:r w:rsidRPr="00985EBC">
        <w:rPr>
          <w:rFonts w:asciiTheme="majorHAnsi" w:hAnsiTheme="majorHAnsi"/>
          <w:lang w:val="ro-RO"/>
        </w:rPr>
        <w:t>;</w:t>
      </w:r>
    </w:p>
    <w:p w:rsidR="00815BA1" w:rsidRPr="00985EBC" w:rsidRDefault="00815BA1" w:rsidP="00815BA1">
      <w:pPr>
        <w:pStyle w:val="ListParagraph"/>
        <w:numPr>
          <w:ilvl w:val="0"/>
          <w:numId w:val="25"/>
        </w:numPr>
        <w:rPr>
          <w:rFonts w:asciiTheme="majorHAnsi" w:hAnsiTheme="majorHAnsi"/>
          <w:lang w:val="ro-RO"/>
        </w:rPr>
      </w:pPr>
      <w:r w:rsidRPr="00985EBC">
        <w:rPr>
          <w:rFonts w:asciiTheme="majorHAnsi" w:hAnsiTheme="majorHAnsi"/>
          <w:lang w:val="ro-RO"/>
        </w:rPr>
        <w:t>Experienţa CAPC, începînd cu anul 2006, de cooperarea cu Parlamentul Republicii Moldova în domeniul efectuării expertizei coruptibilităţii legislaţiei.</w:t>
      </w:r>
    </w:p>
    <w:p w:rsidR="00815BA1" w:rsidRPr="00985EBC" w:rsidRDefault="00815BA1" w:rsidP="00710E75">
      <w:pPr>
        <w:rPr>
          <w:rFonts w:asciiTheme="majorHAnsi" w:hAnsiTheme="majorHAnsi"/>
          <w:sz w:val="24"/>
          <w:szCs w:val="24"/>
          <w:lang w:val="ro-RO"/>
        </w:rPr>
      </w:pPr>
    </w:p>
    <w:p w:rsidR="00F52EB2" w:rsidRPr="00985EBC" w:rsidRDefault="00F52EB2" w:rsidP="00F52EB2">
      <w:pPr>
        <w:rPr>
          <w:rFonts w:asciiTheme="majorHAnsi" w:hAnsiTheme="majorHAnsi"/>
          <w:sz w:val="24"/>
          <w:szCs w:val="24"/>
          <w:lang w:val="ro-RO"/>
        </w:rPr>
      </w:pPr>
      <w:r w:rsidRPr="00985EBC">
        <w:rPr>
          <w:rFonts w:asciiTheme="majorHAnsi" w:hAnsiTheme="majorHAnsi"/>
          <w:sz w:val="24"/>
          <w:szCs w:val="24"/>
          <w:lang w:val="ro-RO"/>
        </w:rPr>
        <w:t>Expertiza</w:t>
      </w:r>
      <w:r w:rsidR="00091702" w:rsidRPr="00985EBC">
        <w:rPr>
          <w:rFonts w:asciiTheme="majorHAnsi" w:hAnsiTheme="majorHAnsi"/>
          <w:sz w:val="24"/>
          <w:szCs w:val="24"/>
          <w:lang w:val="ro-RO"/>
        </w:rPr>
        <w:t xml:space="preserve"> </w:t>
      </w:r>
      <w:r w:rsidR="00815BA1" w:rsidRPr="00985EBC">
        <w:rPr>
          <w:rFonts w:asciiTheme="majorHAnsi" w:hAnsiTheme="majorHAnsi"/>
          <w:sz w:val="24"/>
          <w:szCs w:val="24"/>
          <w:lang w:val="ro-RO"/>
        </w:rPr>
        <w:t xml:space="preserve">legislaţiei </w:t>
      </w:r>
      <w:r w:rsidR="00091702" w:rsidRPr="00985EBC">
        <w:rPr>
          <w:rFonts w:asciiTheme="majorHAnsi" w:hAnsiTheme="majorHAnsi"/>
          <w:sz w:val="24"/>
          <w:szCs w:val="24"/>
          <w:lang w:val="ro-RO"/>
        </w:rPr>
        <w:t>din perspectiva drepturilor</w:t>
      </w:r>
      <w:r w:rsidR="00815BA1" w:rsidRPr="00985EBC">
        <w:rPr>
          <w:rFonts w:asciiTheme="majorHAnsi" w:hAnsiTheme="majorHAnsi"/>
          <w:sz w:val="24"/>
          <w:szCs w:val="24"/>
          <w:lang w:val="ro-RO"/>
        </w:rPr>
        <w:t xml:space="preserve"> </w:t>
      </w:r>
      <w:r w:rsidR="000A21CF" w:rsidRPr="00985EBC">
        <w:rPr>
          <w:rFonts w:asciiTheme="majorHAnsi" w:hAnsiTheme="majorHAnsi"/>
          <w:sz w:val="24"/>
          <w:szCs w:val="24"/>
          <w:lang w:val="ro-RO"/>
        </w:rPr>
        <w:t>oferă un şir de avantaje, printre care:</w:t>
      </w:r>
    </w:p>
    <w:p w:rsidR="00F52EB2" w:rsidRPr="00985EBC" w:rsidRDefault="00815BA1" w:rsidP="00F52EB2">
      <w:pPr>
        <w:numPr>
          <w:ilvl w:val="0"/>
          <w:numId w:val="1"/>
        </w:numPr>
        <w:jc w:val="left"/>
        <w:rPr>
          <w:rFonts w:asciiTheme="majorHAnsi" w:hAnsiTheme="majorHAnsi"/>
          <w:sz w:val="24"/>
          <w:szCs w:val="24"/>
          <w:lang w:val="ro-RO"/>
        </w:rPr>
      </w:pPr>
      <w:r w:rsidRPr="00985EBC">
        <w:rPr>
          <w:rFonts w:asciiTheme="majorHAnsi" w:hAnsiTheme="majorHAnsi"/>
          <w:sz w:val="24"/>
          <w:szCs w:val="24"/>
          <w:lang w:val="ro-RO"/>
        </w:rPr>
        <w:t>i</w:t>
      </w:r>
      <w:r w:rsidR="00F52EB2" w:rsidRPr="00985EBC">
        <w:rPr>
          <w:rFonts w:asciiTheme="majorHAnsi" w:hAnsiTheme="majorHAnsi"/>
          <w:sz w:val="24"/>
          <w:szCs w:val="24"/>
          <w:lang w:val="ro-RO"/>
        </w:rPr>
        <w:t>dentificarea şi eliminarea cauzelor de ordin legislativ-normativ, care favorizează apariţia, perpetuarea sau creşterea situaţiilor de încălcare a drepturilor omului, inclusiv egalităţii gender;</w:t>
      </w:r>
    </w:p>
    <w:p w:rsidR="00F52EB2" w:rsidRPr="00985EBC" w:rsidRDefault="00F52EB2" w:rsidP="00F52EB2">
      <w:pPr>
        <w:numPr>
          <w:ilvl w:val="0"/>
          <w:numId w:val="1"/>
        </w:numPr>
        <w:spacing w:before="120" w:after="60"/>
        <w:rPr>
          <w:rFonts w:asciiTheme="majorHAnsi" w:hAnsiTheme="majorHAnsi"/>
          <w:sz w:val="24"/>
          <w:szCs w:val="24"/>
          <w:lang w:val="ro-RO"/>
        </w:rPr>
      </w:pPr>
      <w:r w:rsidRPr="00985EBC">
        <w:rPr>
          <w:rFonts w:asciiTheme="majorHAnsi" w:hAnsiTheme="majorHAnsi"/>
          <w:sz w:val="24"/>
          <w:szCs w:val="24"/>
          <w:lang w:val="ro-RO"/>
        </w:rPr>
        <w:t>asigurarea monitoring-ului real si permanent al societăţii civile asupra procesului legislativ în Republica Moldova şi implicarea exponenţilor societăţii civile în acest proces, prin furnizarea expertizei calificate;</w:t>
      </w:r>
    </w:p>
    <w:p w:rsidR="00F52EB2" w:rsidRPr="00985EBC" w:rsidRDefault="00F52EB2" w:rsidP="00F52EB2">
      <w:pPr>
        <w:numPr>
          <w:ilvl w:val="0"/>
          <w:numId w:val="1"/>
        </w:numPr>
        <w:spacing w:before="120" w:after="60"/>
        <w:rPr>
          <w:rFonts w:asciiTheme="majorHAnsi" w:hAnsiTheme="majorHAnsi"/>
          <w:sz w:val="24"/>
          <w:szCs w:val="24"/>
          <w:lang w:val="ro-RO"/>
        </w:rPr>
      </w:pPr>
      <w:r w:rsidRPr="00985EBC">
        <w:rPr>
          <w:rFonts w:asciiTheme="majorHAnsi" w:hAnsiTheme="majorHAnsi"/>
          <w:sz w:val="24"/>
          <w:szCs w:val="24"/>
          <w:lang w:val="ro-RO"/>
        </w:rPr>
        <w:lastRenderedPageBreak/>
        <w:t>informarea publicului larg despre conţinutul proiectelor de legi şi mediatizarea proi</w:t>
      </w:r>
      <w:r w:rsidR="000A21CF" w:rsidRPr="00985EBC">
        <w:rPr>
          <w:rFonts w:asciiTheme="majorHAnsi" w:hAnsiTheme="majorHAnsi"/>
          <w:sz w:val="24"/>
          <w:szCs w:val="24"/>
          <w:lang w:val="ro-RO"/>
        </w:rPr>
        <w:t>ectelor de legi discriminatorii.</w:t>
      </w:r>
    </w:p>
    <w:p w:rsidR="00F56431" w:rsidRPr="00343F61" w:rsidRDefault="00285CD9" w:rsidP="00343F61">
      <w:pPr>
        <w:pStyle w:val="Heading1"/>
        <w:rPr>
          <w:sz w:val="24"/>
          <w:szCs w:val="24"/>
          <w:lang w:val="ro-RO"/>
        </w:rPr>
      </w:pPr>
      <w:bookmarkStart w:id="5" w:name="_Toc409790612"/>
      <w:r w:rsidRPr="00343F61">
        <w:rPr>
          <w:sz w:val="24"/>
          <w:szCs w:val="24"/>
          <w:lang w:val="ro-RO"/>
        </w:rPr>
        <w:t>I.2</w:t>
      </w:r>
      <w:r w:rsidR="009707FF" w:rsidRPr="00343F61">
        <w:rPr>
          <w:sz w:val="24"/>
          <w:szCs w:val="24"/>
          <w:lang w:val="ro-RO"/>
        </w:rPr>
        <w:t xml:space="preserve"> </w:t>
      </w:r>
      <w:r w:rsidR="00F56431" w:rsidRPr="00343F61">
        <w:rPr>
          <w:sz w:val="24"/>
          <w:szCs w:val="24"/>
          <w:lang w:val="ro-RO"/>
        </w:rPr>
        <w:t>Proiectul „</w:t>
      </w:r>
      <w:r w:rsidR="007A7329" w:rsidRPr="00343F61">
        <w:rPr>
          <w:sz w:val="24"/>
          <w:szCs w:val="24"/>
          <w:lang w:val="ro-RO"/>
        </w:rPr>
        <w:t>Armonizarea legislaţiei la standardele internaţionale în domeniul drepturilor omului</w:t>
      </w:r>
      <w:r w:rsidR="00F56431" w:rsidRPr="00343F61">
        <w:rPr>
          <w:sz w:val="24"/>
          <w:szCs w:val="24"/>
          <w:lang w:val="ro-RO"/>
        </w:rPr>
        <w:t>”</w:t>
      </w:r>
      <w:bookmarkEnd w:id="5"/>
    </w:p>
    <w:p w:rsidR="00D049E6" w:rsidRPr="00985EBC" w:rsidRDefault="00D049E6" w:rsidP="00F52EB2">
      <w:pPr>
        <w:rPr>
          <w:rFonts w:asciiTheme="majorHAnsi" w:hAnsiTheme="majorHAnsi"/>
          <w:sz w:val="24"/>
          <w:szCs w:val="24"/>
          <w:lang w:val="ro-RO"/>
        </w:rPr>
      </w:pPr>
    </w:p>
    <w:p w:rsidR="00E30818" w:rsidRPr="00985EBC" w:rsidRDefault="00D049E6" w:rsidP="00F52EB2">
      <w:pPr>
        <w:rPr>
          <w:rFonts w:asciiTheme="majorHAnsi" w:hAnsiTheme="majorHAnsi"/>
          <w:sz w:val="24"/>
          <w:szCs w:val="24"/>
          <w:lang w:val="ro-RO"/>
        </w:rPr>
      </w:pPr>
      <w:r w:rsidRPr="00985EBC">
        <w:rPr>
          <w:rFonts w:asciiTheme="majorHAnsi" w:hAnsiTheme="majorHAnsi"/>
          <w:sz w:val="24"/>
          <w:szCs w:val="24"/>
          <w:lang w:val="ro-RO"/>
        </w:rPr>
        <w:t>Efectuarea expertizei proiectelor actelor normative din perspectiva drepturilor omului a fost realizată de CAPC</w:t>
      </w:r>
      <w:r w:rsidR="007A7329" w:rsidRPr="00985EBC">
        <w:rPr>
          <w:rFonts w:asciiTheme="majorHAnsi" w:hAnsiTheme="majorHAnsi"/>
          <w:sz w:val="24"/>
          <w:szCs w:val="24"/>
          <w:lang w:val="ro-RO"/>
        </w:rPr>
        <w:t>, cu sprijinul Apărătorilor Drepturilor Civile din Suedia,</w:t>
      </w:r>
      <w:r w:rsidRPr="00985EBC">
        <w:rPr>
          <w:rFonts w:asciiTheme="majorHAnsi" w:hAnsiTheme="majorHAnsi"/>
          <w:sz w:val="24"/>
          <w:szCs w:val="24"/>
          <w:lang w:val="ro-RO"/>
        </w:rPr>
        <w:t xml:space="preserve"> în două etape:</w:t>
      </w:r>
    </w:p>
    <w:p w:rsidR="00D049E6" w:rsidRPr="00985EBC" w:rsidRDefault="00D049E6" w:rsidP="00F52EB2">
      <w:pPr>
        <w:rPr>
          <w:rFonts w:asciiTheme="majorHAnsi" w:hAnsiTheme="majorHAnsi"/>
          <w:sz w:val="24"/>
          <w:szCs w:val="24"/>
          <w:lang w:val="ro-RO"/>
        </w:rPr>
      </w:pPr>
    </w:p>
    <w:p w:rsidR="00D049E6" w:rsidRPr="00985EBC" w:rsidRDefault="00D049E6" w:rsidP="00F52EB2">
      <w:pPr>
        <w:rPr>
          <w:rFonts w:asciiTheme="majorHAnsi" w:hAnsiTheme="majorHAnsi"/>
          <w:sz w:val="24"/>
          <w:szCs w:val="24"/>
          <w:lang w:val="ro-RO"/>
        </w:rPr>
      </w:pPr>
      <w:r w:rsidRPr="00985EBC">
        <w:rPr>
          <w:rFonts w:asciiTheme="majorHAnsi" w:hAnsiTheme="majorHAnsi"/>
          <w:i/>
          <w:sz w:val="24"/>
          <w:szCs w:val="24"/>
          <w:u w:val="single"/>
          <w:lang w:val="ro-RO"/>
        </w:rPr>
        <w:t>I etapă</w:t>
      </w:r>
      <w:r w:rsidRPr="00985EBC">
        <w:rPr>
          <w:rFonts w:asciiTheme="majorHAnsi" w:hAnsiTheme="majorHAnsi"/>
          <w:sz w:val="24"/>
          <w:szCs w:val="24"/>
          <w:lang w:val="ro-RO"/>
        </w:rPr>
        <w:t>: crearea intrumentelor necesare pentru efectuarea expertizei proiectelor actelor normative  din perspectiva drepturilor omului:</w:t>
      </w:r>
    </w:p>
    <w:p w:rsidR="00D049E6" w:rsidRPr="00985EBC" w:rsidRDefault="00D049E6" w:rsidP="00D049E6">
      <w:pPr>
        <w:rPr>
          <w:rFonts w:asciiTheme="majorHAnsi" w:hAnsiTheme="majorHAnsi"/>
          <w:sz w:val="24"/>
          <w:szCs w:val="24"/>
          <w:lang w:val="ro-RO"/>
        </w:rPr>
      </w:pPr>
    </w:p>
    <w:p w:rsidR="00D049E6" w:rsidRPr="00985EBC" w:rsidRDefault="00D049E6" w:rsidP="00D049E6">
      <w:pPr>
        <w:rPr>
          <w:rFonts w:asciiTheme="majorHAnsi" w:hAnsiTheme="majorHAnsi"/>
          <w:sz w:val="24"/>
          <w:szCs w:val="24"/>
          <w:lang w:val="ro-RO"/>
        </w:rPr>
      </w:pPr>
      <w:r w:rsidRPr="00985EBC">
        <w:rPr>
          <w:rFonts w:asciiTheme="majorHAnsi" w:hAnsiTheme="majorHAnsi"/>
          <w:sz w:val="24"/>
          <w:szCs w:val="24"/>
          <w:lang w:val="ro-RO"/>
        </w:rPr>
        <w:t xml:space="preserve">În cadrul acestei etape, în perioada 1 noiembrie 2012 – 31 ianuarie 2013, CAPC a implementat proiectul </w:t>
      </w:r>
      <w:r w:rsidRPr="00985EBC">
        <w:rPr>
          <w:rFonts w:asciiTheme="majorHAnsi" w:eastAsia="Calibri" w:hAnsiTheme="majorHAnsi" w:cs="Arial"/>
          <w:sz w:val="24"/>
          <w:szCs w:val="24"/>
          <w:lang w:val="ro-RO"/>
        </w:rPr>
        <w:t>“Crearea instrumentelor pentru efectuarea expertizei legislaţiei din perspective drepturilor omului şi egalităţii gender” şi a elaborat:</w:t>
      </w:r>
    </w:p>
    <w:p w:rsidR="00D049E6" w:rsidRPr="00985EBC" w:rsidRDefault="00D049E6" w:rsidP="00D049E6">
      <w:pPr>
        <w:rPr>
          <w:rFonts w:ascii="Calibri" w:hAnsi="Calibri"/>
          <w:b/>
          <w:color w:val="0000FF"/>
          <w:lang w:val="ro-RO"/>
        </w:rPr>
      </w:pPr>
    </w:p>
    <w:p w:rsidR="00D049E6" w:rsidRPr="00985EBC" w:rsidRDefault="00D049E6" w:rsidP="00D049E6">
      <w:pPr>
        <w:pStyle w:val="ListParagraph"/>
        <w:numPr>
          <w:ilvl w:val="0"/>
          <w:numId w:val="4"/>
        </w:numPr>
        <w:rPr>
          <w:rFonts w:asciiTheme="majorHAnsi" w:eastAsia="Calibri" w:hAnsiTheme="majorHAnsi" w:cs="Arial"/>
          <w:bCs/>
          <w:lang w:val="ro-RO"/>
        </w:rPr>
      </w:pPr>
      <w:r w:rsidRPr="00985EBC">
        <w:rPr>
          <w:rFonts w:asciiTheme="majorHAnsi" w:eastAsia="Calibri" w:hAnsiTheme="majorHAnsi" w:cs="Arial"/>
          <w:bCs/>
          <w:lang w:val="ro-RO"/>
        </w:rPr>
        <w:t>Ghidul privind efectuarea expertizei legislaţiei prin prisma drepturilor omului şi egalităţii gender;</w:t>
      </w:r>
    </w:p>
    <w:p w:rsidR="00D049E6" w:rsidRPr="00985EBC" w:rsidRDefault="00D049E6" w:rsidP="00D049E6">
      <w:pPr>
        <w:pStyle w:val="ListParagraph"/>
        <w:numPr>
          <w:ilvl w:val="0"/>
          <w:numId w:val="4"/>
        </w:numPr>
        <w:rPr>
          <w:rFonts w:asciiTheme="majorHAnsi" w:eastAsia="Calibri" w:hAnsiTheme="majorHAnsi" w:cs="Arial"/>
          <w:bCs/>
          <w:lang w:val="ro-RO"/>
        </w:rPr>
      </w:pPr>
      <w:r w:rsidRPr="00985EBC">
        <w:rPr>
          <w:rFonts w:asciiTheme="majorHAnsi" w:eastAsia="Calibri" w:hAnsiTheme="majorHAnsi" w:cs="Arial"/>
          <w:bCs/>
          <w:lang w:val="ro-RO"/>
        </w:rPr>
        <w:t>E-template-ul privind efectuarea expertizei legislaţiei prin prisma drepturilor omului şi egalităţii gender.</w:t>
      </w:r>
    </w:p>
    <w:p w:rsidR="00D049E6" w:rsidRPr="00985EBC" w:rsidRDefault="00D049E6" w:rsidP="00F52EB2">
      <w:pPr>
        <w:rPr>
          <w:rFonts w:asciiTheme="majorHAnsi" w:hAnsiTheme="majorHAnsi"/>
          <w:sz w:val="24"/>
          <w:szCs w:val="24"/>
          <w:lang w:val="ro-RO"/>
        </w:rPr>
      </w:pPr>
    </w:p>
    <w:p w:rsidR="00D049E6" w:rsidRPr="00985EBC" w:rsidRDefault="00D049E6" w:rsidP="00F52EB2">
      <w:pPr>
        <w:rPr>
          <w:rFonts w:asciiTheme="majorHAnsi" w:hAnsiTheme="majorHAnsi"/>
          <w:sz w:val="24"/>
          <w:szCs w:val="24"/>
          <w:lang w:val="ro-RO"/>
        </w:rPr>
      </w:pPr>
      <w:r w:rsidRPr="00985EBC">
        <w:rPr>
          <w:rFonts w:asciiTheme="majorHAnsi" w:hAnsiTheme="majorHAnsi"/>
          <w:i/>
          <w:sz w:val="24"/>
          <w:szCs w:val="24"/>
          <w:u w:val="single"/>
          <w:lang w:val="ro-RO"/>
        </w:rPr>
        <w:t>II etapă</w:t>
      </w:r>
      <w:r w:rsidRPr="00985EBC">
        <w:rPr>
          <w:rFonts w:asciiTheme="majorHAnsi" w:hAnsiTheme="majorHAnsi"/>
          <w:sz w:val="24"/>
          <w:szCs w:val="24"/>
          <w:lang w:val="ro-RO"/>
        </w:rPr>
        <w:t>: efectuarea expertizei proiectelor a</w:t>
      </w:r>
      <w:r w:rsidR="007A7329" w:rsidRPr="00985EBC">
        <w:rPr>
          <w:rFonts w:asciiTheme="majorHAnsi" w:hAnsiTheme="majorHAnsi"/>
          <w:sz w:val="24"/>
          <w:szCs w:val="24"/>
          <w:lang w:val="ro-RO"/>
        </w:rPr>
        <w:t>ctelor normative din perspectiva</w:t>
      </w:r>
      <w:r w:rsidRPr="00985EBC">
        <w:rPr>
          <w:rFonts w:asciiTheme="majorHAnsi" w:hAnsiTheme="majorHAnsi"/>
          <w:sz w:val="24"/>
          <w:szCs w:val="24"/>
          <w:lang w:val="ro-RO"/>
        </w:rPr>
        <w:t xml:space="preserve"> drepturilor omului, în cadrul căreia au fost implementate 2 proiecte:</w:t>
      </w:r>
    </w:p>
    <w:p w:rsidR="00D049E6" w:rsidRPr="00985EBC" w:rsidRDefault="00D049E6" w:rsidP="00F52EB2">
      <w:pPr>
        <w:rPr>
          <w:rFonts w:asciiTheme="majorHAnsi" w:hAnsiTheme="majorHAnsi"/>
          <w:sz w:val="24"/>
          <w:szCs w:val="24"/>
          <w:lang w:val="ro-RO"/>
        </w:rPr>
      </w:pPr>
    </w:p>
    <w:p w:rsidR="00F56431" w:rsidRPr="00985EBC" w:rsidRDefault="00982A83" w:rsidP="00982A83">
      <w:pPr>
        <w:pStyle w:val="ListParagraph"/>
        <w:numPr>
          <w:ilvl w:val="0"/>
          <w:numId w:val="5"/>
        </w:numPr>
        <w:rPr>
          <w:rFonts w:asciiTheme="majorHAnsi" w:eastAsiaTheme="minorHAnsi" w:hAnsiTheme="majorHAnsi" w:cstheme="minorBidi"/>
          <w:lang w:val="ro-RO" w:eastAsia="en-US"/>
        </w:rPr>
      </w:pPr>
      <w:r w:rsidRPr="00985EBC">
        <w:rPr>
          <w:rFonts w:asciiTheme="majorHAnsi" w:eastAsiaTheme="minorHAnsi" w:hAnsiTheme="majorHAnsi" w:cstheme="minorBidi"/>
          <w:lang w:val="ro-RO" w:eastAsia="en-US"/>
        </w:rPr>
        <w:t>p</w:t>
      </w:r>
      <w:r w:rsidR="00E30818" w:rsidRPr="00985EBC">
        <w:rPr>
          <w:rFonts w:asciiTheme="majorHAnsi" w:eastAsiaTheme="minorHAnsi" w:hAnsiTheme="majorHAnsi" w:cstheme="minorBidi"/>
          <w:lang w:val="ro-RO" w:eastAsia="en-US"/>
        </w:rPr>
        <w:t>roiectul "</w:t>
      </w:r>
      <w:r w:rsidR="00E30818" w:rsidRPr="00985EBC">
        <w:rPr>
          <w:rFonts w:asciiTheme="majorHAnsi" w:eastAsiaTheme="minorHAnsi" w:hAnsiTheme="majorHAnsi" w:cstheme="minorBidi"/>
          <w:i/>
          <w:lang w:val="ro-RO" w:eastAsia="en-US"/>
        </w:rPr>
        <w:t>Expertiza vulnerabilităţii actelor normative prin prisma drepturilor omului</w:t>
      </w:r>
      <w:r w:rsidR="00E30818" w:rsidRPr="00985EBC">
        <w:rPr>
          <w:rFonts w:asciiTheme="majorHAnsi" w:eastAsiaTheme="minorHAnsi" w:hAnsiTheme="majorHAnsi" w:cstheme="minorBidi"/>
          <w:lang w:val="ro-RO" w:eastAsia="en-US"/>
        </w:rPr>
        <w:t>"</w:t>
      </w:r>
      <w:r w:rsidRPr="00985EBC">
        <w:rPr>
          <w:rFonts w:asciiTheme="majorHAnsi" w:eastAsiaTheme="minorHAnsi" w:hAnsiTheme="majorHAnsi" w:cstheme="minorBidi"/>
          <w:lang w:val="ro-RO" w:eastAsia="en-US"/>
        </w:rPr>
        <w:t>,</w:t>
      </w:r>
      <w:r w:rsidR="00E30818" w:rsidRPr="00985EBC">
        <w:rPr>
          <w:rFonts w:asciiTheme="majorHAnsi" w:eastAsiaTheme="minorHAnsi" w:hAnsiTheme="majorHAnsi" w:cstheme="minorBidi"/>
          <w:lang w:val="ro-RO" w:eastAsia="en-US"/>
        </w:rPr>
        <w:t xml:space="preserve"> implementat în perioada 1 iunie 2013 – 31 decembrie 2013</w:t>
      </w:r>
      <w:r w:rsidRPr="00985EBC">
        <w:rPr>
          <w:rFonts w:asciiTheme="majorHAnsi" w:eastAsiaTheme="minorHAnsi" w:hAnsiTheme="majorHAnsi" w:cstheme="minorBidi"/>
          <w:lang w:val="ro-RO" w:eastAsia="en-US"/>
        </w:rPr>
        <w:t>; şi</w:t>
      </w:r>
    </w:p>
    <w:p w:rsidR="00E30818" w:rsidRPr="00985EBC" w:rsidRDefault="00E30818">
      <w:pPr>
        <w:rPr>
          <w:rFonts w:asciiTheme="majorHAnsi" w:hAnsiTheme="majorHAnsi"/>
          <w:sz w:val="24"/>
          <w:szCs w:val="24"/>
          <w:lang w:val="ro-RO"/>
        </w:rPr>
      </w:pPr>
    </w:p>
    <w:p w:rsidR="00982A83" w:rsidRPr="00985EBC" w:rsidRDefault="00982A83" w:rsidP="00982A83">
      <w:pPr>
        <w:pStyle w:val="ListParagraph"/>
        <w:numPr>
          <w:ilvl w:val="0"/>
          <w:numId w:val="5"/>
        </w:numPr>
        <w:rPr>
          <w:rFonts w:asciiTheme="majorHAnsi" w:eastAsiaTheme="minorHAnsi" w:hAnsiTheme="majorHAnsi" w:cstheme="minorBidi"/>
          <w:lang w:val="ro-RO" w:eastAsia="en-US"/>
        </w:rPr>
      </w:pPr>
      <w:r w:rsidRPr="00985EBC">
        <w:rPr>
          <w:rFonts w:asciiTheme="majorHAnsi" w:eastAsiaTheme="minorHAnsi" w:hAnsiTheme="majorHAnsi" w:cstheme="minorBidi"/>
          <w:lang w:val="ro-RO" w:eastAsia="en-US"/>
        </w:rPr>
        <w:t>p</w:t>
      </w:r>
      <w:r w:rsidR="00E30818" w:rsidRPr="00985EBC">
        <w:rPr>
          <w:rFonts w:asciiTheme="majorHAnsi" w:eastAsiaTheme="minorHAnsi" w:hAnsiTheme="majorHAnsi" w:cstheme="minorBidi"/>
          <w:lang w:val="ro-RO" w:eastAsia="en-US"/>
        </w:rPr>
        <w:t>roiectul „</w:t>
      </w:r>
      <w:r w:rsidR="00E30818" w:rsidRPr="00985EBC">
        <w:rPr>
          <w:rFonts w:asciiTheme="majorHAnsi" w:eastAsiaTheme="minorHAnsi" w:hAnsiTheme="majorHAnsi" w:cstheme="minorBidi"/>
          <w:i/>
          <w:lang w:val="ro-RO" w:eastAsia="en-US"/>
        </w:rPr>
        <w:t>Armonizarea legislaţiei la standardele internaţionale în domeniul drepturilor omului</w:t>
      </w:r>
      <w:r w:rsidR="00E30818" w:rsidRPr="00985EBC">
        <w:rPr>
          <w:rFonts w:asciiTheme="majorHAnsi" w:eastAsiaTheme="minorHAnsi" w:hAnsiTheme="majorHAnsi" w:cstheme="minorBidi"/>
          <w:lang w:val="ro-RO" w:eastAsia="en-US"/>
        </w:rPr>
        <w:t>”</w:t>
      </w:r>
      <w:r w:rsidRPr="00985EBC">
        <w:rPr>
          <w:rFonts w:asciiTheme="majorHAnsi" w:eastAsiaTheme="minorHAnsi" w:hAnsiTheme="majorHAnsi" w:cstheme="minorBidi"/>
          <w:lang w:val="ro-RO" w:eastAsia="en-US"/>
        </w:rPr>
        <w:t xml:space="preserve">, </w:t>
      </w:r>
      <w:r w:rsidR="00E30818" w:rsidRPr="00985EBC">
        <w:rPr>
          <w:rFonts w:asciiTheme="majorHAnsi" w:eastAsiaTheme="minorHAnsi" w:hAnsiTheme="majorHAnsi" w:cstheme="minorBidi"/>
          <w:lang w:val="ro-RO" w:eastAsia="en-US"/>
        </w:rPr>
        <w:t xml:space="preserve">  implementat în perioada 2 ianuarie 2014 – 31 decembrie 2014</w:t>
      </w:r>
      <w:r w:rsidRPr="00985EBC">
        <w:rPr>
          <w:rFonts w:asciiTheme="majorHAnsi" w:eastAsiaTheme="minorHAnsi" w:hAnsiTheme="majorHAnsi" w:cstheme="minorBidi"/>
          <w:lang w:val="ro-RO" w:eastAsia="en-US"/>
        </w:rPr>
        <w:t>.</w:t>
      </w:r>
    </w:p>
    <w:p w:rsidR="00982A83" w:rsidRPr="00985EBC" w:rsidRDefault="00982A83">
      <w:pPr>
        <w:rPr>
          <w:lang w:val="ro-RO"/>
        </w:rPr>
      </w:pPr>
    </w:p>
    <w:p w:rsidR="00342AB9" w:rsidRPr="00985EBC" w:rsidRDefault="008A7AE4" w:rsidP="00342AB9">
      <w:pPr>
        <w:rPr>
          <w:rFonts w:asciiTheme="majorHAnsi" w:eastAsia="Times New Roman" w:hAnsiTheme="majorHAnsi" w:cs="Times New Roman"/>
          <w:sz w:val="24"/>
          <w:szCs w:val="24"/>
          <w:lang w:val="ro-RO" w:eastAsia="ru-RU"/>
        </w:rPr>
      </w:pPr>
      <w:r w:rsidRPr="00985EBC">
        <w:rPr>
          <w:rFonts w:asciiTheme="majorHAnsi" w:hAnsiTheme="majorHAnsi"/>
          <w:sz w:val="24"/>
          <w:szCs w:val="24"/>
          <w:lang w:val="ro-RO"/>
        </w:rPr>
        <w:t>Activităţile proiectului „</w:t>
      </w:r>
      <w:r w:rsidRPr="00985EBC">
        <w:rPr>
          <w:rFonts w:asciiTheme="majorHAnsi" w:hAnsiTheme="majorHAnsi"/>
          <w:i/>
          <w:sz w:val="24"/>
          <w:szCs w:val="24"/>
          <w:lang w:val="ro-RO"/>
        </w:rPr>
        <w:t>Armonizarea legislaţiei la standardele internaţionale în domeniul drepturilor omului</w:t>
      </w:r>
      <w:r w:rsidRPr="00985EBC">
        <w:rPr>
          <w:rFonts w:asciiTheme="majorHAnsi" w:hAnsiTheme="majorHAnsi"/>
          <w:sz w:val="24"/>
          <w:szCs w:val="24"/>
          <w:lang w:val="ro-RO"/>
        </w:rPr>
        <w:t xml:space="preserve">” </w:t>
      </w:r>
      <w:r w:rsidR="00F65FCB">
        <w:rPr>
          <w:rFonts w:asciiTheme="majorHAnsi" w:hAnsiTheme="majorHAnsi"/>
          <w:sz w:val="24"/>
          <w:szCs w:val="24"/>
          <w:lang w:val="ro-RO"/>
        </w:rPr>
        <w:t xml:space="preserve"> (similarea activităţilor proiectului</w:t>
      </w:r>
      <w:r w:rsidR="00F65FCB" w:rsidRPr="00985EBC">
        <w:rPr>
          <w:rFonts w:asciiTheme="majorHAnsi" w:hAnsiTheme="majorHAnsi"/>
          <w:lang w:val="ro-RO"/>
        </w:rPr>
        <w:t>"</w:t>
      </w:r>
      <w:r w:rsidR="00F65FCB" w:rsidRPr="00985EBC">
        <w:rPr>
          <w:rFonts w:asciiTheme="majorHAnsi" w:hAnsiTheme="majorHAnsi"/>
          <w:i/>
          <w:lang w:val="ro-RO"/>
        </w:rPr>
        <w:t>Expertiza vulnerabilităţii actelor normative prin prisma drepturilor omului</w:t>
      </w:r>
      <w:r w:rsidR="00F65FCB" w:rsidRPr="00985EBC">
        <w:rPr>
          <w:rFonts w:asciiTheme="majorHAnsi" w:hAnsiTheme="majorHAnsi"/>
          <w:lang w:val="ro-RO"/>
        </w:rPr>
        <w:t>"</w:t>
      </w:r>
      <w:r w:rsidR="00F65FCB">
        <w:rPr>
          <w:rFonts w:asciiTheme="majorHAnsi" w:hAnsiTheme="majorHAnsi"/>
          <w:sz w:val="24"/>
          <w:szCs w:val="24"/>
          <w:lang w:val="ro-RO"/>
        </w:rPr>
        <w:t>)</w:t>
      </w:r>
      <w:r w:rsidR="008C418B">
        <w:rPr>
          <w:rFonts w:asciiTheme="majorHAnsi" w:hAnsiTheme="majorHAnsi"/>
          <w:sz w:val="24"/>
          <w:szCs w:val="24"/>
          <w:lang w:val="ro-RO"/>
        </w:rPr>
        <w:t xml:space="preserve"> </w:t>
      </w:r>
      <w:r w:rsidRPr="00985EBC">
        <w:rPr>
          <w:rFonts w:asciiTheme="majorHAnsi" w:hAnsiTheme="majorHAnsi"/>
          <w:sz w:val="24"/>
          <w:szCs w:val="24"/>
          <w:lang w:val="ro-RO"/>
        </w:rPr>
        <w:t>includ:</w:t>
      </w:r>
      <w:r w:rsidR="00342AB9" w:rsidRPr="00985EBC">
        <w:rPr>
          <w:rFonts w:asciiTheme="majorHAnsi" w:hAnsiTheme="majorHAnsi"/>
          <w:sz w:val="24"/>
          <w:szCs w:val="24"/>
          <w:lang w:val="ro-RO"/>
        </w:rPr>
        <w:t xml:space="preserve"> e</w:t>
      </w:r>
      <w:r w:rsidR="00342AB9" w:rsidRPr="00985EBC">
        <w:rPr>
          <w:rFonts w:asciiTheme="majorHAnsi" w:eastAsia="Times New Roman" w:hAnsiTheme="majorHAnsi"/>
          <w:iCs/>
          <w:sz w:val="24"/>
          <w:szCs w:val="24"/>
          <w:lang w:val="ro-RO"/>
        </w:rPr>
        <w:t>fectuarea expertizei proiectelor de acte normative prin prisma drepturilor omului; m</w:t>
      </w:r>
      <w:r w:rsidR="00342AB9" w:rsidRPr="00985EBC">
        <w:rPr>
          <w:rFonts w:asciiTheme="majorHAnsi" w:eastAsia="Times New Roman" w:hAnsiTheme="majorHAnsi" w:cs="Times New Roman"/>
          <w:iCs/>
          <w:sz w:val="24"/>
          <w:szCs w:val="24"/>
          <w:lang w:val="ro-RO" w:eastAsia="ru-RU"/>
        </w:rPr>
        <w:t>ediatizarea rezultatelor expertizei prin intermediul conferin</w:t>
      </w:r>
      <w:r w:rsidR="00342AB9" w:rsidRPr="00985EBC">
        <w:rPr>
          <w:rFonts w:asciiTheme="majorHAnsi" w:eastAsia="Times New Roman" w:hAnsiTheme="majorHAnsi" w:cs="Cambria Math"/>
          <w:iCs/>
          <w:sz w:val="24"/>
          <w:szCs w:val="24"/>
          <w:lang w:val="ro-RO" w:eastAsia="ru-RU"/>
        </w:rPr>
        <w:t>ț</w:t>
      </w:r>
      <w:r w:rsidR="00342AB9" w:rsidRPr="00985EBC">
        <w:rPr>
          <w:rFonts w:asciiTheme="majorHAnsi" w:eastAsia="Times New Roman" w:hAnsiTheme="majorHAnsi" w:cs="Times New Roman"/>
          <w:iCs/>
          <w:sz w:val="24"/>
          <w:szCs w:val="24"/>
          <w:lang w:val="ro-RO" w:eastAsia="ru-RU"/>
        </w:rPr>
        <w:t>elor şi comunicatelor de presă.</w:t>
      </w:r>
    </w:p>
    <w:p w:rsidR="00982A83" w:rsidRPr="00985EBC" w:rsidRDefault="00982A83">
      <w:pPr>
        <w:rPr>
          <w:rFonts w:asciiTheme="majorHAnsi" w:hAnsiTheme="majorHAnsi"/>
          <w:sz w:val="24"/>
          <w:szCs w:val="24"/>
          <w:lang w:val="ro-RO"/>
        </w:rPr>
      </w:pPr>
    </w:p>
    <w:p w:rsidR="00B928B7" w:rsidRPr="00985EBC" w:rsidRDefault="00B928B7" w:rsidP="00B928B7">
      <w:pPr>
        <w:rPr>
          <w:rFonts w:asciiTheme="majorHAnsi" w:hAnsiTheme="majorHAnsi" w:cs="Arial"/>
          <w:shadow/>
          <w:sz w:val="24"/>
          <w:szCs w:val="24"/>
          <w:lang w:val="ro-RO"/>
        </w:rPr>
      </w:pPr>
      <w:r w:rsidRPr="00985EBC">
        <w:rPr>
          <w:rFonts w:asciiTheme="majorHAnsi" w:hAnsiTheme="majorHAnsi"/>
          <w:sz w:val="24"/>
          <w:szCs w:val="24"/>
          <w:lang w:val="ro-RO"/>
        </w:rPr>
        <w:t>Implementarea proiectului este realizată de către 2 coordonatori de proiect şi 13 experţi, specializaţi pe următoarele domenii de expertiză:</w:t>
      </w:r>
      <w:r w:rsidRPr="00985EBC">
        <w:rPr>
          <w:rFonts w:asciiTheme="majorHAnsi" w:hAnsiTheme="majorHAnsi" w:cs="Arial"/>
          <w:shadow/>
          <w:sz w:val="24"/>
          <w:szCs w:val="24"/>
          <w:lang w:val="ro-RO"/>
        </w:rPr>
        <w:t xml:space="preserve"> justiţie şi afaceri interne, drepturile şi libertăţile omului; economie şi comerţ; buget şi finanţe; educaţie, cultură, culte şi mass-media; legislaţia muncii, asigurarea socială şi ocrotirea sănătăţii.</w:t>
      </w:r>
    </w:p>
    <w:p w:rsidR="00B928B7" w:rsidRPr="00985EBC" w:rsidRDefault="00B928B7">
      <w:pPr>
        <w:rPr>
          <w:rFonts w:asciiTheme="majorHAnsi" w:hAnsiTheme="majorHAnsi"/>
          <w:sz w:val="24"/>
          <w:szCs w:val="24"/>
          <w:lang w:val="ro-RO"/>
        </w:rPr>
      </w:pPr>
    </w:p>
    <w:p w:rsidR="00982A83" w:rsidRDefault="00982A83">
      <w:pPr>
        <w:rPr>
          <w:rFonts w:asciiTheme="majorHAnsi" w:hAnsiTheme="majorHAnsi"/>
          <w:sz w:val="24"/>
          <w:szCs w:val="24"/>
          <w:lang w:val="ro-RO"/>
        </w:rPr>
      </w:pPr>
    </w:p>
    <w:p w:rsidR="00851FE5" w:rsidRDefault="00851FE5">
      <w:pPr>
        <w:rPr>
          <w:rFonts w:asciiTheme="majorHAnsi" w:hAnsiTheme="majorHAnsi"/>
          <w:sz w:val="24"/>
          <w:szCs w:val="24"/>
          <w:lang w:val="ro-RO"/>
        </w:rPr>
      </w:pPr>
    </w:p>
    <w:p w:rsidR="00851FE5" w:rsidRDefault="00851FE5">
      <w:pPr>
        <w:rPr>
          <w:rFonts w:asciiTheme="majorHAnsi" w:hAnsiTheme="majorHAnsi"/>
          <w:sz w:val="24"/>
          <w:szCs w:val="24"/>
          <w:lang w:val="ro-RO"/>
        </w:rPr>
      </w:pPr>
    </w:p>
    <w:p w:rsidR="00851FE5" w:rsidRDefault="00851FE5">
      <w:pPr>
        <w:rPr>
          <w:rFonts w:asciiTheme="majorHAnsi" w:hAnsiTheme="majorHAnsi"/>
          <w:sz w:val="24"/>
          <w:szCs w:val="24"/>
          <w:lang w:val="ro-RO"/>
        </w:rPr>
      </w:pPr>
    </w:p>
    <w:p w:rsidR="00851FE5" w:rsidRPr="00985EBC" w:rsidRDefault="00851FE5">
      <w:pPr>
        <w:rPr>
          <w:rFonts w:asciiTheme="majorHAnsi" w:hAnsiTheme="majorHAnsi"/>
          <w:sz w:val="24"/>
          <w:szCs w:val="24"/>
          <w:lang w:val="ro-RO"/>
        </w:rPr>
      </w:pPr>
    </w:p>
    <w:p w:rsidR="00F56431" w:rsidRPr="00985EBC" w:rsidRDefault="00AE3FD4" w:rsidP="00985EBC">
      <w:pPr>
        <w:pStyle w:val="Heading1"/>
        <w:rPr>
          <w:color w:val="244061" w:themeColor="accent1" w:themeShade="80"/>
          <w:lang w:val="ro-RO"/>
        </w:rPr>
      </w:pPr>
      <w:bookmarkStart w:id="6" w:name="_Toc409790613"/>
      <w:r w:rsidRPr="00985EBC">
        <w:rPr>
          <w:color w:val="244061" w:themeColor="accent1" w:themeShade="80"/>
          <w:lang w:val="ro-RO"/>
        </w:rPr>
        <w:t>II. INSTRUMENTELE DE EFECTUARE A EXPERTIZEI LEGISLAŢIEI DIN PERSPECTIVA DREPTURILOR OMULUI</w:t>
      </w:r>
      <w:bookmarkEnd w:id="6"/>
      <w:r w:rsidRPr="00985EBC">
        <w:rPr>
          <w:color w:val="244061" w:themeColor="accent1" w:themeShade="80"/>
          <w:lang w:val="ro-RO"/>
        </w:rPr>
        <w:t xml:space="preserve"> </w:t>
      </w:r>
    </w:p>
    <w:p w:rsidR="00226B08" w:rsidRPr="00985EBC" w:rsidRDefault="00226B08">
      <w:pPr>
        <w:rPr>
          <w:rFonts w:asciiTheme="majorHAnsi" w:hAnsiTheme="majorHAnsi"/>
          <w:sz w:val="24"/>
          <w:szCs w:val="24"/>
          <w:lang w:val="ro-RO"/>
        </w:rPr>
      </w:pPr>
    </w:p>
    <w:p w:rsidR="0087255A" w:rsidRPr="00985EBC" w:rsidRDefault="008921D0">
      <w:pPr>
        <w:rPr>
          <w:rFonts w:asciiTheme="majorHAnsi" w:hAnsiTheme="majorHAnsi" w:cs="Arial"/>
          <w:sz w:val="24"/>
          <w:szCs w:val="24"/>
          <w:lang w:val="ro-RO"/>
        </w:rPr>
      </w:pPr>
      <w:r w:rsidRPr="00985EBC">
        <w:rPr>
          <w:rFonts w:asciiTheme="majorHAnsi" w:hAnsiTheme="majorHAnsi"/>
          <w:sz w:val="24"/>
          <w:szCs w:val="24"/>
          <w:lang w:val="ro-RO"/>
        </w:rPr>
        <w:t>Acest capitol descrie instrumentele de efectuare a expertizei legislaţiei din perspectiva drepturilor omului: Ghidul</w:t>
      </w:r>
      <w:r w:rsidRPr="00985EBC">
        <w:rPr>
          <w:rFonts w:asciiTheme="majorHAnsi" w:hAnsiTheme="majorHAnsi" w:cs="Arial"/>
          <w:sz w:val="24"/>
          <w:szCs w:val="24"/>
          <w:lang w:val="ro-RO"/>
        </w:rPr>
        <w:t xml:space="preserve"> pentru efectuarea expertizei vulnerabilităţii proiectelor de acte </w:t>
      </w:r>
      <w:r w:rsidRPr="00985EBC">
        <w:rPr>
          <w:rFonts w:asciiTheme="majorHAnsi" w:hAnsiTheme="majorHAnsi" w:cs="Arial"/>
          <w:sz w:val="24"/>
          <w:szCs w:val="24"/>
          <w:lang w:val="ro-RO"/>
        </w:rPr>
        <w:lastRenderedPageBreak/>
        <w:t>normative prin prisma drepturilor omului şi egalităţii gender (secţiunea II.1) şi e</w:t>
      </w:r>
      <w:r w:rsidRPr="00985EBC">
        <w:rPr>
          <w:rFonts w:asciiTheme="majorHAnsi" w:hAnsiTheme="majorHAnsi"/>
          <w:sz w:val="24"/>
          <w:szCs w:val="24"/>
          <w:lang w:val="ro-RO"/>
        </w:rPr>
        <w:t>-templat</w:t>
      </w:r>
      <w:r w:rsidR="00985EBC">
        <w:rPr>
          <w:rFonts w:asciiTheme="majorHAnsi" w:hAnsiTheme="majorHAnsi"/>
          <w:sz w:val="24"/>
          <w:szCs w:val="24"/>
          <w:lang w:val="ro-RO"/>
        </w:rPr>
        <w:t>e-</w:t>
      </w:r>
      <w:r w:rsidRPr="00985EBC">
        <w:rPr>
          <w:rFonts w:asciiTheme="majorHAnsi" w:hAnsiTheme="majorHAnsi"/>
          <w:sz w:val="24"/>
          <w:szCs w:val="24"/>
          <w:lang w:val="ro-RO"/>
        </w:rPr>
        <w:t>ul de efectuare a expertizei legislaţiei din perspectiva drepturilor omului</w:t>
      </w:r>
      <w:r w:rsidRPr="00985EBC">
        <w:rPr>
          <w:rFonts w:asciiTheme="majorHAnsi" w:hAnsiTheme="majorHAnsi" w:cs="Arial"/>
          <w:sz w:val="24"/>
          <w:szCs w:val="24"/>
          <w:lang w:val="ro-RO"/>
        </w:rPr>
        <w:t xml:space="preserve"> </w:t>
      </w:r>
      <w:r w:rsidR="008C418B">
        <w:rPr>
          <w:rFonts w:asciiTheme="majorHAnsi" w:hAnsiTheme="majorHAnsi" w:cs="Arial"/>
          <w:sz w:val="24"/>
          <w:szCs w:val="24"/>
          <w:lang w:val="ro-RO"/>
        </w:rPr>
        <w:t>(</w:t>
      </w:r>
      <w:r w:rsidRPr="00985EBC">
        <w:rPr>
          <w:rFonts w:asciiTheme="majorHAnsi" w:hAnsiTheme="majorHAnsi" w:cs="Arial"/>
          <w:sz w:val="24"/>
          <w:szCs w:val="24"/>
          <w:lang w:val="ro-RO"/>
        </w:rPr>
        <w:t>secţiunea II.2).</w:t>
      </w:r>
    </w:p>
    <w:p w:rsidR="00F56431" w:rsidRPr="00343F61" w:rsidRDefault="00F56431" w:rsidP="00343F61">
      <w:pPr>
        <w:pStyle w:val="Heading1"/>
        <w:rPr>
          <w:sz w:val="24"/>
          <w:szCs w:val="24"/>
          <w:lang w:val="ro-RO"/>
        </w:rPr>
      </w:pPr>
      <w:bookmarkStart w:id="7" w:name="_Toc409790614"/>
      <w:r w:rsidRPr="00343F61">
        <w:rPr>
          <w:sz w:val="24"/>
          <w:szCs w:val="24"/>
          <w:lang w:val="ro-RO"/>
        </w:rPr>
        <w:t>II.1 Ghidul pentru efectuarea expertizei vulnerabilităţii proiectelor de acte normative prin prisma drepturilor omului şi egalităţii gender</w:t>
      </w:r>
      <w:bookmarkEnd w:id="7"/>
    </w:p>
    <w:p w:rsidR="00AE2EA9" w:rsidRPr="00985EBC" w:rsidRDefault="00AE2EA9">
      <w:pPr>
        <w:rPr>
          <w:rFonts w:asciiTheme="majorHAnsi" w:hAnsiTheme="majorHAnsi" w:cs="Arial"/>
          <w:sz w:val="24"/>
          <w:szCs w:val="24"/>
          <w:lang w:val="ro-RO"/>
        </w:rPr>
      </w:pPr>
    </w:p>
    <w:p w:rsidR="000401A8" w:rsidRPr="00985EBC" w:rsidRDefault="00AE2EA9" w:rsidP="00D33D32">
      <w:pPr>
        <w:pStyle w:val="NoSpacing"/>
        <w:jc w:val="both"/>
        <w:rPr>
          <w:rFonts w:asciiTheme="majorHAnsi" w:hAnsiTheme="majorHAnsi" w:cs="Arial"/>
          <w:sz w:val="24"/>
          <w:szCs w:val="24"/>
          <w:lang w:val="ro-RO"/>
        </w:rPr>
      </w:pPr>
      <w:r w:rsidRPr="00985EBC">
        <w:rPr>
          <w:rFonts w:asciiTheme="majorHAnsi" w:hAnsiTheme="majorHAnsi" w:cs="Arial"/>
          <w:sz w:val="24"/>
          <w:szCs w:val="24"/>
          <w:lang w:val="ro-RO"/>
        </w:rPr>
        <w:t xml:space="preserve">Ghidul pentru efectuarea expertizei vulnerabilităţii proiectelor de acte normative prin prisma drepturilor omului şi egalităţii gender </w:t>
      </w:r>
      <w:r w:rsidR="000401A8" w:rsidRPr="00985EBC">
        <w:rPr>
          <w:rFonts w:asciiTheme="majorHAnsi" w:hAnsiTheme="majorHAnsi" w:cs="Arial"/>
          <w:sz w:val="24"/>
          <w:szCs w:val="24"/>
          <w:lang w:val="ro-RO"/>
        </w:rPr>
        <w:t>(în continuare - Ghidul) a fost elaborat de un grup de experţi ai CAPC.</w:t>
      </w:r>
    </w:p>
    <w:p w:rsidR="000401A8" w:rsidRPr="00985EBC" w:rsidRDefault="000401A8" w:rsidP="00D33D32">
      <w:pPr>
        <w:pStyle w:val="NoSpacing"/>
        <w:jc w:val="both"/>
        <w:rPr>
          <w:rFonts w:asciiTheme="majorHAnsi" w:hAnsiTheme="majorHAnsi" w:cs="Arial"/>
          <w:sz w:val="24"/>
          <w:szCs w:val="24"/>
          <w:lang w:val="ro-RO"/>
        </w:rPr>
      </w:pPr>
    </w:p>
    <w:p w:rsidR="00AE2EA9" w:rsidRPr="00985EBC" w:rsidRDefault="000401A8" w:rsidP="00D33D32">
      <w:pPr>
        <w:pStyle w:val="NoSpacing"/>
        <w:jc w:val="both"/>
        <w:rPr>
          <w:rFonts w:asciiTheme="majorHAnsi" w:hAnsiTheme="majorHAnsi" w:cs="Arial"/>
          <w:sz w:val="24"/>
          <w:szCs w:val="24"/>
          <w:lang w:val="ro-RO"/>
        </w:rPr>
      </w:pPr>
      <w:r w:rsidRPr="00985EBC">
        <w:rPr>
          <w:rFonts w:asciiTheme="majorHAnsi" w:hAnsiTheme="majorHAnsi" w:cs="Arial"/>
          <w:sz w:val="24"/>
          <w:szCs w:val="24"/>
          <w:lang w:val="ro-RO"/>
        </w:rPr>
        <w:t xml:space="preserve">Acesta, potrivit autorilor, </w:t>
      </w:r>
      <w:r w:rsidR="00AE2EA9" w:rsidRPr="00985EBC">
        <w:rPr>
          <w:rFonts w:asciiTheme="majorHAnsi" w:hAnsiTheme="majorHAnsi" w:cs="Arial"/>
          <w:sz w:val="24"/>
          <w:szCs w:val="24"/>
          <w:lang w:val="ro-RO"/>
        </w:rPr>
        <w:t>reprezintă un prim pas în instituirea unui set de standarde minime</w:t>
      </w:r>
      <w:r w:rsidR="00BF4F05">
        <w:rPr>
          <w:rFonts w:asciiTheme="majorHAnsi" w:hAnsiTheme="majorHAnsi" w:cs="Arial"/>
          <w:sz w:val="24"/>
          <w:szCs w:val="24"/>
          <w:lang w:val="ro-RO"/>
        </w:rPr>
        <w:t>,</w:t>
      </w:r>
      <w:r w:rsidR="00AE2EA9" w:rsidRPr="00985EBC">
        <w:rPr>
          <w:rFonts w:asciiTheme="majorHAnsi" w:hAnsiTheme="majorHAnsi" w:cs="Arial"/>
          <w:sz w:val="24"/>
          <w:szCs w:val="24"/>
          <w:lang w:val="ro-RO"/>
        </w:rPr>
        <w:t xml:space="preserve"> aplicabile procesului de conceptualizare, elaborare şi promovare a proiectelor de acte normative şi care urmează să contribuie la: asigurarea corespunderii normelor cu standardele privind drepturile omului, inclusiv egalitatea gender, naţionale şi internaţionale; prevenirea apariţiei şi/sau identificarea factorilor de vulnerabilitate care duc sau pot duce la încălcarea/limitarea/ignorarea drepturilor omului/egalităţii gender, precum şi prevenirea sau diminuarea posibilelor efecte negative ale acestora; prevenirea condamnării Republicii Moldova de către Curtea Europeană a Drepturilor Omului.</w:t>
      </w:r>
    </w:p>
    <w:p w:rsidR="00AE2EA9" w:rsidRPr="00985EBC" w:rsidRDefault="00AE2EA9" w:rsidP="00D33D32">
      <w:pPr>
        <w:pStyle w:val="NoSpacing"/>
        <w:jc w:val="both"/>
        <w:rPr>
          <w:rFonts w:asciiTheme="majorHAnsi" w:hAnsiTheme="majorHAnsi" w:cs="Arial"/>
          <w:sz w:val="24"/>
          <w:szCs w:val="24"/>
          <w:lang w:val="ro-RO"/>
        </w:rPr>
      </w:pPr>
    </w:p>
    <w:p w:rsidR="00AE2EA9" w:rsidRPr="00985EBC" w:rsidRDefault="00AE2EA9" w:rsidP="00D33D32">
      <w:pPr>
        <w:pStyle w:val="NoSpacing"/>
        <w:jc w:val="both"/>
        <w:rPr>
          <w:rFonts w:asciiTheme="majorHAnsi" w:hAnsiTheme="majorHAnsi" w:cs="Arial"/>
          <w:sz w:val="24"/>
          <w:szCs w:val="24"/>
          <w:lang w:val="ro-RO"/>
        </w:rPr>
      </w:pPr>
      <w:r w:rsidRPr="00985EBC">
        <w:rPr>
          <w:rFonts w:asciiTheme="majorHAnsi" w:hAnsiTheme="majorHAnsi" w:cs="Arial"/>
          <w:sz w:val="24"/>
          <w:szCs w:val="24"/>
          <w:lang w:val="ro-RO"/>
        </w:rPr>
        <w:t>Expertiza proiectelor de acte normative prin prisma drepturilor omului şi egalităţii gender, în baza Ghid</w:t>
      </w:r>
      <w:r w:rsidR="000401A8" w:rsidRPr="00985EBC">
        <w:rPr>
          <w:rFonts w:asciiTheme="majorHAnsi" w:hAnsiTheme="majorHAnsi" w:cs="Arial"/>
          <w:sz w:val="24"/>
          <w:szCs w:val="24"/>
          <w:lang w:val="ro-RO"/>
        </w:rPr>
        <w:t>ului</w:t>
      </w:r>
      <w:r w:rsidRPr="00985EBC">
        <w:rPr>
          <w:rFonts w:asciiTheme="majorHAnsi" w:hAnsiTheme="majorHAnsi" w:cs="Arial"/>
          <w:sz w:val="24"/>
          <w:szCs w:val="24"/>
          <w:lang w:val="ro-RO"/>
        </w:rPr>
        <w:t>, poate fi efectuată atît în privinţa proiectelor actelor normative de bază, cît şi în privinţa proiectelor de acte normative de modificare, completare sau abrogare. Ghidul poate fi aplicat şi în procesul de expertizare a actelor normative în vigoare.</w:t>
      </w:r>
    </w:p>
    <w:p w:rsidR="00171EA1" w:rsidRPr="00985EBC" w:rsidRDefault="00171EA1" w:rsidP="00D33D32">
      <w:pPr>
        <w:pStyle w:val="NoSpacing"/>
        <w:jc w:val="both"/>
        <w:rPr>
          <w:rFonts w:asciiTheme="majorHAnsi" w:hAnsiTheme="majorHAnsi" w:cs="Arial"/>
          <w:sz w:val="24"/>
          <w:szCs w:val="24"/>
          <w:lang w:val="ro-RO"/>
        </w:rPr>
      </w:pPr>
    </w:p>
    <w:p w:rsidR="002754F7" w:rsidRPr="00985EBC" w:rsidRDefault="002754F7" w:rsidP="002754F7">
      <w:pPr>
        <w:rPr>
          <w:rFonts w:ascii="Cambria" w:hAnsi="Cambria" w:cs="Arial"/>
          <w:sz w:val="24"/>
          <w:szCs w:val="24"/>
          <w:lang w:val="ro-RO"/>
        </w:rPr>
      </w:pPr>
      <w:r w:rsidRPr="00985EBC">
        <w:rPr>
          <w:rFonts w:ascii="Cambria" w:hAnsi="Cambria" w:cs="Arial"/>
          <w:sz w:val="24"/>
          <w:szCs w:val="24"/>
          <w:lang w:val="ro-RO"/>
        </w:rPr>
        <w:t>Din punct de vedere structural, Ghidul conţine două capitole. Primul capitol, întitulat „Dispoziţii generale” oferă o descriere a celor mai importante noţiuni şi definiţii utilizate, aplicabile procesului de efectuare a expertizei vulnerabilităţii proiectelor de acte normative prin prisma drepturilor omului şi egalităţii gender (</w:t>
      </w:r>
      <w:r w:rsidRPr="00985EBC">
        <w:rPr>
          <w:rFonts w:ascii="Cambria" w:hAnsi="Cambria" w:cs="Arial"/>
          <w:i/>
          <w:sz w:val="24"/>
          <w:szCs w:val="24"/>
          <w:lang w:val="ro-RO"/>
        </w:rPr>
        <w:t>secţiunea 1</w:t>
      </w:r>
      <w:r w:rsidRPr="00985EBC">
        <w:rPr>
          <w:rFonts w:ascii="Cambria" w:hAnsi="Cambria" w:cs="Arial"/>
          <w:sz w:val="24"/>
          <w:szCs w:val="24"/>
          <w:lang w:val="ro-RO"/>
        </w:rPr>
        <w:t>), o analiză a reglementărilor de bază din legislaţia naţională, care consacră drepturile omului, inclusiv principiul egalităţii gender (</w:t>
      </w:r>
      <w:r w:rsidRPr="00985EBC">
        <w:rPr>
          <w:rFonts w:ascii="Cambria" w:hAnsi="Cambria" w:cs="Arial"/>
          <w:i/>
          <w:sz w:val="24"/>
          <w:szCs w:val="24"/>
          <w:lang w:val="ro-RO"/>
        </w:rPr>
        <w:t>secţiunea 2</w:t>
      </w:r>
      <w:r w:rsidRPr="00985EBC">
        <w:rPr>
          <w:rFonts w:ascii="Cambria" w:hAnsi="Cambria" w:cs="Arial"/>
          <w:sz w:val="24"/>
          <w:szCs w:val="24"/>
          <w:lang w:val="ro-RO"/>
        </w:rPr>
        <w:t>), o descriere concisă a principalelor acte internaţionale relevante (</w:t>
      </w:r>
      <w:r w:rsidRPr="00985EBC">
        <w:rPr>
          <w:rFonts w:ascii="Cambria" w:hAnsi="Cambria" w:cs="Arial"/>
          <w:i/>
          <w:sz w:val="24"/>
          <w:szCs w:val="24"/>
          <w:lang w:val="ro-RO"/>
        </w:rPr>
        <w:t>secţiunea 3</w:t>
      </w:r>
      <w:r w:rsidRPr="00985EBC">
        <w:rPr>
          <w:rFonts w:ascii="Cambria" w:hAnsi="Cambria" w:cs="Arial"/>
          <w:sz w:val="24"/>
          <w:szCs w:val="24"/>
          <w:lang w:val="ro-RO"/>
        </w:rPr>
        <w:t>), o analiză a rolului şi impactului jurisprudenţei Curţii Europene a Drepturilor Omului (</w:t>
      </w:r>
      <w:r w:rsidRPr="00985EBC">
        <w:rPr>
          <w:rFonts w:ascii="Cambria" w:hAnsi="Cambria" w:cs="Arial"/>
          <w:i/>
          <w:sz w:val="24"/>
          <w:szCs w:val="24"/>
          <w:lang w:val="ro-RO"/>
        </w:rPr>
        <w:t>secţiunea 4</w:t>
      </w:r>
      <w:r w:rsidRPr="00985EBC">
        <w:rPr>
          <w:rFonts w:ascii="Cambria" w:hAnsi="Cambria" w:cs="Arial"/>
          <w:sz w:val="24"/>
          <w:szCs w:val="24"/>
          <w:lang w:val="ro-RO"/>
        </w:rPr>
        <w:t>), precum şi unele repere teoretice (</w:t>
      </w:r>
      <w:r w:rsidRPr="00985EBC">
        <w:rPr>
          <w:rFonts w:ascii="Cambria" w:hAnsi="Cambria" w:cs="Arial"/>
          <w:i/>
          <w:sz w:val="24"/>
          <w:szCs w:val="24"/>
          <w:lang w:val="ro-RO"/>
        </w:rPr>
        <w:t>secţiunea 5</w:t>
      </w:r>
      <w:r w:rsidRPr="00985EBC">
        <w:rPr>
          <w:rFonts w:ascii="Cambria" w:hAnsi="Cambria" w:cs="Arial"/>
          <w:sz w:val="24"/>
          <w:szCs w:val="24"/>
          <w:lang w:val="ro-RO"/>
        </w:rPr>
        <w:t xml:space="preserve">). </w:t>
      </w:r>
    </w:p>
    <w:p w:rsidR="00AE2EA9" w:rsidRPr="00985EBC" w:rsidRDefault="00AE2EA9" w:rsidP="00AE2EA9">
      <w:pPr>
        <w:tabs>
          <w:tab w:val="left" w:pos="360"/>
        </w:tabs>
        <w:rPr>
          <w:sz w:val="24"/>
          <w:szCs w:val="24"/>
          <w:lang w:val="ro-RO"/>
        </w:rPr>
      </w:pPr>
    </w:p>
    <w:p w:rsidR="007C69BE" w:rsidRPr="00985EBC" w:rsidRDefault="00783079">
      <w:pPr>
        <w:rPr>
          <w:rFonts w:ascii="Cambria" w:hAnsi="Cambria"/>
          <w:sz w:val="24"/>
          <w:szCs w:val="24"/>
          <w:lang w:val="ro-RO"/>
        </w:rPr>
      </w:pPr>
      <w:r w:rsidRPr="00985EBC">
        <w:rPr>
          <w:rFonts w:ascii="Cambria" w:hAnsi="Cambria"/>
          <w:sz w:val="24"/>
          <w:szCs w:val="24"/>
          <w:lang w:val="ro-RO"/>
        </w:rPr>
        <w:t>Ce de al doilea capitol, întitulat «Expertiza vulnerabilităţii proiectelor de acte normative prin prisma drepturilor omului şi egalităţii gender»</w:t>
      </w:r>
      <w:r w:rsidR="007C69BE" w:rsidRPr="00985EBC">
        <w:rPr>
          <w:rFonts w:ascii="Cambria" w:hAnsi="Cambria"/>
          <w:sz w:val="24"/>
          <w:szCs w:val="24"/>
          <w:lang w:val="ro-RO"/>
        </w:rPr>
        <w:t xml:space="preserve"> se referă la: scopul şi obiectivele expertizei vulnerabilităţii (secţiunea 1); etapele expertizei (secţiunea 2); condiţiile pe care trebuie să le întrunească raportul de expertiză (secţiunea 3).</w:t>
      </w:r>
    </w:p>
    <w:p w:rsidR="007C69BE" w:rsidRPr="00985EBC" w:rsidRDefault="007C69BE">
      <w:pPr>
        <w:rPr>
          <w:rFonts w:ascii="Cambria" w:hAnsi="Cambria"/>
          <w:sz w:val="24"/>
          <w:szCs w:val="24"/>
          <w:lang w:val="ro-RO"/>
        </w:rPr>
      </w:pPr>
    </w:p>
    <w:p w:rsidR="007C69BE" w:rsidRPr="00985EBC" w:rsidRDefault="007C69BE" w:rsidP="007C69BE">
      <w:pPr>
        <w:rPr>
          <w:rFonts w:ascii="Cambria" w:hAnsi="Cambria" w:cs="Arial"/>
          <w:sz w:val="24"/>
          <w:szCs w:val="24"/>
          <w:lang w:val="ro-RO"/>
        </w:rPr>
      </w:pPr>
      <w:r w:rsidRPr="00985EBC">
        <w:rPr>
          <w:rFonts w:ascii="Cambria" w:hAnsi="Cambria" w:cs="Arial"/>
          <w:sz w:val="24"/>
          <w:szCs w:val="24"/>
          <w:lang w:val="ro-RO"/>
        </w:rPr>
        <w:t>Ghidul stabileşte următorul scop principal al expertizei:</w:t>
      </w:r>
    </w:p>
    <w:p w:rsidR="007C69BE" w:rsidRPr="00985EBC" w:rsidRDefault="007C69BE" w:rsidP="007C69BE">
      <w:pPr>
        <w:pStyle w:val="ListParagraph1"/>
        <w:numPr>
          <w:ilvl w:val="0"/>
          <w:numId w:val="12"/>
        </w:numPr>
        <w:spacing w:after="0" w:line="240" w:lineRule="auto"/>
        <w:jc w:val="both"/>
        <w:rPr>
          <w:rFonts w:ascii="Cambria" w:hAnsi="Cambria" w:cs="Arial"/>
          <w:sz w:val="24"/>
          <w:szCs w:val="24"/>
        </w:rPr>
      </w:pPr>
      <w:r w:rsidRPr="00985EBC">
        <w:rPr>
          <w:rFonts w:ascii="Cambria" w:hAnsi="Cambria" w:cs="Arial"/>
          <w:sz w:val="24"/>
          <w:szCs w:val="24"/>
        </w:rPr>
        <w:t>contribuirea la armonizarea noilor reglementări adoptate/emise de autorităţile publice cu standardele în domeniul drepturilor omului şi egalităţii gender;</w:t>
      </w:r>
    </w:p>
    <w:p w:rsidR="007C69BE" w:rsidRPr="00985EBC" w:rsidRDefault="007C69BE" w:rsidP="007C69BE">
      <w:pPr>
        <w:pStyle w:val="ListParagraph1"/>
        <w:numPr>
          <w:ilvl w:val="0"/>
          <w:numId w:val="12"/>
        </w:numPr>
        <w:spacing w:after="0" w:line="240" w:lineRule="auto"/>
        <w:jc w:val="both"/>
        <w:rPr>
          <w:rFonts w:ascii="Cambria" w:hAnsi="Cambria" w:cs="Arial"/>
          <w:sz w:val="24"/>
          <w:szCs w:val="24"/>
        </w:rPr>
      </w:pPr>
      <w:r w:rsidRPr="00985EBC">
        <w:rPr>
          <w:rFonts w:ascii="Cambria" w:hAnsi="Cambria" w:cs="Arial"/>
          <w:sz w:val="24"/>
          <w:szCs w:val="24"/>
        </w:rPr>
        <w:t>neadmiterea limitării, încălcării sau omiterii drepturilor şi libertăţilor fundamentale ale omului;</w:t>
      </w:r>
    </w:p>
    <w:p w:rsidR="007C69BE" w:rsidRPr="00985EBC" w:rsidRDefault="007C69BE" w:rsidP="007C69BE">
      <w:pPr>
        <w:pStyle w:val="ListParagraph1"/>
        <w:numPr>
          <w:ilvl w:val="0"/>
          <w:numId w:val="12"/>
        </w:numPr>
        <w:spacing w:after="0" w:line="240" w:lineRule="auto"/>
        <w:jc w:val="both"/>
        <w:rPr>
          <w:rFonts w:ascii="Cambria" w:hAnsi="Cambria" w:cs="Arial"/>
          <w:sz w:val="24"/>
          <w:szCs w:val="24"/>
        </w:rPr>
      </w:pPr>
      <w:r w:rsidRPr="00985EBC">
        <w:rPr>
          <w:rFonts w:ascii="Cambria" w:hAnsi="Cambria" w:cs="Arial"/>
          <w:sz w:val="24"/>
          <w:szCs w:val="24"/>
        </w:rPr>
        <w:t xml:space="preserve">urmărirea asigurării respectării egalităţii gender în noile reglementări. </w:t>
      </w:r>
    </w:p>
    <w:p w:rsidR="007C69BE" w:rsidRPr="00985EBC" w:rsidRDefault="007C69BE" w:rsidP="007C69BE">
      <w:pPr>
        <w:rPr>
          <w:rFonts w:ascii="Cambria" w:hAnsi="Cambria" w:cs="Arial"/>
          <w:b/>
          <w:sz w:val="24"/>
          <w:szCs w:val="24"/>
          <w:lang w:val="ro-RO"/>
        </w:rPr>
      </w:pPr>
    </w:p>
    <w:p w:rsidR="007C69BE" w:rsidRPr="00985EBC" w:rsidRDefault="007C69BE" w:rsidP="007C69BE">
      <w:pPr>
        <w:rPr>
          <w:rFonts w:ascii="Cambria" w:hAnsi="Cambria" w:cs="Arial"/>
          <w:sz w:val="24"/>
          <w:szCs w:val="24"/>
          <w:lang w:val="ro-RO"/>
        </w:rPr>
      </w:pPr>
      <w:r w:rsidRPr="00985EBC">
        <w:rPr>
          <w:rFonts w:ascii="Cambria" w:hAnsi="Cambria" w:cs="Arial"/>
          <w:sz w:val="24"/>
          <w:szCs w:val="24"/>
          <w:lang w:val="ro-RO"/>
        </w:rPr>
        <w:t xml:space="preserve">Scopul secundar al expertizei vizează dezvoltarea şi înţelegerea protecţiei drepturilor şi libertăţilor fundamentale ale omului prin prisma jurisprudenţei Curţii Constituţionale şi a Jurisprudenţei CtEDO. </w:t>
      </w:r>
    </w:p>
    <w:p w:rsidR="007C69BE" w:rsidRPr="00985EBC" w:rsidRDefault="007C69BE" w:rsidP="007C69BE">
      <w:pPr>
        <w:rPr>
          <w:rFonts w:ascii="Cambria" w:hAnsi="Cambria" w:cs="Arial"/>
          <w:sz w:val="24"/>
          <w:szCs w:val="24"/>
          <w:lang w:val="ro-RO"/>
        </w:rPr>
      </w:pPr>
    </w:p>
    <w:p w:rsidR="007C69BE" w:rsidRPr="00985EBC" w:rsidRDefault="007C69BE" w:rsidP="007C69BE">
      <w:pPr>
        <w:rPr>
          <w:rFonts w:ascii="Cambria" w:hAnsi="Cambria" w:cs="Arial"/>
          <w:sz w:val="24"/>
          <w:szCs w:val="24"/>
          <w:lang w:val="ro-RO"/>
        </w:rPr>
      </w:pPr>
      <w:r w:rsidRPr="00985EBC">
        <w:rPr>
          <w:rFonts w:ascii="Cambria" w:hAnsi="Cambria" w:cs="Arial"/>
          <w:sz w:val="24"/>
          <w:szCs w:val="24"/>
          <w:lang w:val="ro-RO"/>
        </w:rPr>
        <w:lastRenderedPageBreak/>
        <w:t xml:space="preserve">De menţionat că în cadrul expertizei, normele proiectului de act normativ se raportează la normele constituţionale, care consacră şi garantează drepturile şi libertăţile fundamentale ale omului. </w:t>
      </w:r>
    </w:p>
    <w:p w:rsidR="007C69BE" w:rsidRPr="00985EBC" w:rsidRDefault="007C69BE" w:rsidP="007C69BE">
      <w:pPr>
        <w:rPr>
          <w:rFonts w:ascii="Cambria" w:hAnsi="Cambria" w:cs="Arial"/>
          <w:sz w:val="24"/>
          <w:szCs w:val="24"/>
          <w:lang w:val="ro-RO"/>
        </w:rPr>
      </w:pPr>
    </w:p>
    <w:p w:rsidR="007C69BE" w:rsidRPr="00985EBC" w:rsidRDefault="00503E82" w:rsidP="007C69BE">
      <w:pPr>
        <w:rPr>
          <w:rFonts w:ascii="Cambria" w:hAnsi="Cambria" w:cs="Arial"/>
          <w:i/>
          <w:sz w:val="24"/>
          <w:szCs w:val="24"/>
          <w:lang w:val="ro-RO"/>
        </w:rPr>
      </w:pPr>
      <w:r w:rsidRPr="00985EBC">
        <w:rPr>
          <w:rFonts w:ascii="Cambria" w:hAnsi="Cambria" w:cs="Arial"/>
          <w:sz w:val="24"/>
          <w:szCs w:val="24"/>
          <w:lang w:val="ro-RO"/>
        </w:rPr>
        <w:t xml:space="preserve">Ghidul stabileşte următoarele obiective </w:t>
      </w:r>
      <w:r w:rsidR="007C69BE" w:rsidRPr="00985EBC">
        <w:rPr>
          <w:rFonts w:ascii="Cambria" w:hAnsi="Cambria" w:cs="Arial"/>
          <w:sz w:val="24"/>
          <w:szCs w:val="24"/>
          <w:lang w:val="ro-RO"/>
        </w:rPr>
        <w:t>ale expertizei</w:t>
      </w:r>
      <w:r w:rsidRPr="00985EBC">
        <w:rPr>
          <w:rFonts w:ascii="Cambria" w:hAnsi="Cambria" w:cs="Arial"/>
          <w:sz w:val="24"/>
          <w:szCs w:val="24"/>
          <w:lang w:val="ro-RO"/>
        </w:rPr>
        <w:t>:</w:t>
      </w:r>
    </w:p>
    <w:p w:rsidR="007C69BE" w:rsidRPr="00985EBC" w:rsidRDefault="007C69BE" w:rsidP="007C69BE">
      <w:pPr>
        <w:pStyle w:val="ListParagraph1"/>
        <w:numPr>
          <w:ilvl w:val="0"/>
          <w:numId w:val="13"/>
        </w:numPr>
        <w:spacing w:after="0" w:line="240" w:lineRule="auto"/>
        <w:jc w:val="both"/>
        <w:rPr>
          <w:rFonts w:ascii="Cambria" w:hAnsi="Cambria" w:cs="Arial"/>
          <w:sz w:val="24"/>
          <w:szCs w:val="24"/>
        </w:rPr>
      </w:pPr>
      <w:r w:rsidRPr="00985EBC">
        <w:rPr>
          <w:rFonts w:ascii="Cambria" w:hAnsi="Cambria" w:cs="Arial"/>
          <w:sz w:val="24"/>
          <w:szCs w:val="24"/>
        </w:rPr>
        <w:t>identificarea prevederilor care contravin  sau corespund insuficient standardelor în domeniul drepturilor omului şi egalităţii gender;</w:t>
      </w:r>
    </w:p>
    <w:p w:rsidR="007C69BE" w:rsidRPr="00985EBC" w:rsidRDefault="007C69BE" w:rsidP="007C69BE">
      <w:pPr>
        <w:pStyle w:val="ListParagraph1"/>
        <w:numPr>
          <w:ilvl w:val="0"/>
          <w:numId w:val="13"/>
        </w:numPr>
        <w:spacing w:after="0" w:line="240" w:lineRule="auto"/>
        <w:jc w:val="both"/>
        <w:rPr>
          <w:rFonts w:ascii="Cambria" w:hAnsi="Cambria" w:cs="Arial"/>
          <w:sz w:val="24"/>
          <w:szCs w:val="24"/>
        </w:rPr>
      </w:pPr>
      <w:r w:rsidRPr="00985EBC">
        <w:rPr>
          <w:rFonts w:ascii="Cambria" w:hAnsi="Cambria" w:cs="Arial"/>
          <w:sz w:val="24"/>
          <w:szCs w:val="24"/>
        </w:rPr>
        <w:t xml:space="preserve">identificarea factorilor de vulnerabilitate; </w:t>
      </w:r>
    </w:p>
    <w:p w:rsidR="007C69BE" w:rsidRPr="00985EBC" w:rsidRDefault="007C69BE" w:rsidP="007C69BE">
      <w:pPr>
        <w:pStyle w:val="ListParagraph1"/>
        <w:numPr>
          <w:ilvl w:val="0"/>
          <w:numId w:val="13"/>
        </w:numPr>
        <w:spacing w:after="0" w:line="240" w:lineRule="auto"/>
        <w:jc w:val="both"/>
        <w:rPr>
          <w:rFonts w:ascii="Cambria" w:hAnsi="Cambria" w:cs="Arial"/>
          <w:sz w:val="24"/>
          <w:szCs w:val="24"/>
        </w:rPr>
      </w:pPr>
      <w:r w:rsidRPr="00985EBC">
        <w:rPr>
          <w:rFonts w:ascii="Cambria" w:hAnsi="Cambria" w:cs="Arial"/>
          <w:sz w:val="24"/>
          <w:szCs w:val="24"/>
        </w:rPr>
        <w:t>elaborarea recomandărilor pentru excluderea sau diminuarea eventualelor efecte ale factorilor de vulnerabilitate.</w:t>
      </w:r>
    </w:p>
    <w:p w:rsidR="007C69BE" w:rsidRPr="00985EBC" w:rsidRDefault="007C69BE">
      <w:pPr>
        <w:rPr>
          <w:rFonts w:ascii="Cambria" w:hAnsi="Cambria"/>
          <w:sz w:val="24"/>
          <w:szCs w:val="24"/>
          <w:lang w:val="ro-RO"/>
        </w:rPr>
      </w:pPr>
    </w:p>
    <w:p w:rsidR="007C69BE" w:rsidRPr="00985EBC" w:rsidRDefault="00503E82" w:rsidP="007C69BE">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Potrivit Ghidului, e</w:t>
      </w:r>
      <w:r w:rsidR="007C69BE" w:rsidRPr="00985EBC">
        <w:rPr>
          <w:rFonts w:ascii="Cambria" w:hAnsi="Cambria" w:cs="Arial"/>
          <w:sz w:val="24"/>
          <w:szCs w:val="24"/>
        </w:rPr>
        <w:t xml:space="preserve">xpertiza implică realizarea </w:t>
      </w:r>
      <w:r w:rsidRPr="00985EBC">
        <w:rPr>
          <w:rFonts w:ascii="Cambria" w:hAnsi="Cambria" w:cs="Arial"/>
          <w:sz w:val="24"/>
          <w:szCs w:val="24"/>
        </w:rPr>
        <w:t>următoarelor</w:t>
      </w:r>
      <w:r w:rsidR="007C69BE" w:rsidRPr="00985EBC">
        <w:rPr>
          <w:rFonts w:ascii="Cambria" w:hAnsi="Cambria" w:cs="Arial"/>
          <w:sz w:val="24"/>
          <w:szCs w:val="24"/>
        </w:rPr>
        <w:t xml:space="preserve"> activităţi</w:t>
      </w:r>
      <w:r w:rsidRPr="00985EBC">
        <w:rPr>
          <w:rFonts w:ascii="Cambria" w:hAnsi="Cambria" w:cs="Arial"/>
          <w:sz w:val="24"/>
          <w:szCs w:val="24"/>
        </w:rPr>
        <w:t>,</w:t>
      </w:r>
      <w:r w:rsidR="007C69BE" w:rsidRPr="00985EBC">
        <w:rPr>
          <w:rFonts w:ascii="Cambria" w:hAnsi="Cambria" w:cs="Arial"/>
          <w:sz w:val="24"/>
          <w:szCs w:val="24"/>
        </w:rPr>
        <w:t xml:space="preserve"> organizate în trei etape: </w:t>
      </w:r>
    </w:p>
    <w:p w:rsidR="00503E82" w:rsidRPr="00985EBC" w:rsidRDefault="00AD6E56" w:rsidP="00985EBC">
      <w:pPr>
        <w:pStyle w:val="ListParagraph1"/>
        <w:spacing w:after="0" w:line="240" w:lineRule="auto"/>
        <w:ind w:left="0"/>
        <w:jc w:val="center"/>
        <w:rPr>
          <w:rFonts w:ascii="Cambria" w:hAnsi="Cambria" w:cs="Arial"/>
          <w:sz w:val="24"/>
          <w:szCs w:val="24"/>
        </w:rPr>
      </w:pPr>
      <w:r w:rsidRPr="00AD6E56">
        <w:rPr>
          <w:rFonts w:ascii="Cambria" w:hAnsi="Cambria" w:cs="Arial"/>
          <w:b/>
          <w:noProof/>
          <w:sz w:val="24"/>
          <w:szCs w:val="24"/>
          <w:lang w:eastAsia="ru-RU"/>
        </w:rPr>
        <w:pict>
          <v:roundrect id="_x0000_s1028" style="position:absolute;left:0;text-align:left;margin-left:102.35pt;margin-top:4.75pt;width:284.95pt;height:83.85pt;z-index:251658240" arcsize="10923f" fillcolor="#b8cce4 [1300]" strokecolor="#17365d [2415]">
            <v:textbox style="mso-next-textbox:#_x0000_s1028">
              <w:txbxContent>
                <w:p w:rsidR="004F0CEC" w:rsidRDefault="004F0CEC" w:rsidP="00985EBC">
                  <w:pPr>
                    <w:pStyle w:val="ListParagraph1"/>
                    <w:spacing w:after="0" w:line="240" w:lineRule="auto"/>
                    <w:ind w:left="0"/>
                    <w:jc w:val="center"/>
                    <w:rPr>
                      <w:rFonts w:ascii="Cambria" w:hAnsi="Cambria" w:cs="Arial"/>
                      <w:b/>
                      <w:sz w:val="24"/>
                      <w:szCs w:val="24"/>
                    </w:rPr>
                  </w:pPr>
                  <w:r w:rsidRPr="00503E82">
                    <w:rPr>
                      <w:rFonts w:ascii="Cambria" w:hAnsi="Cambria" w:cs="Arial"/>
                      <w:b/>
                      <w:sz w:val="24"/>
                      <w:szCs w:val="24"/>
                    </w:rPr>
                    <w:t>Evaluarea generală a proiectului</w:t>
                  </w:r>
                </w:p>
                <w:p w:rsidR="004F0CEC" w:rsidRPr="0028383D" w:rsidRDefault="004F0CEC" w:rsidP="00503E82">
                  <w:pPr>
                    <w:pStyle w:val="ListParagraph1"/>
                    <w:spacing w:after="0" w:line="240" w:lineRule="auto"/>
                    <w:ind w:left="0"/>
                    <w:jc w:val="center"/>
                    <w:rPr>
                      <w:rFonts w:ascii="Cambria" w:hAnsi="Cambria" w:cs="Arial"/>
                      <w:b/>
                      <w:sz w:val="16"/>
                      <w:szCs w:val="16"/>
                    </w:rPr>
                  </w:pPr>
                </w:p>
                <w:p w:rsidR="004F0CEC" w:rsidRPr="00985EBC" w:rsidRDefault="004F0CEC" w:rsidP="0028383D">
                  <w:pPr>
                    <w:pStyle w:val="ListParagraph1"/>
                    <w:spacing w:after="0" w:line="240" w:lineRule="auto"/>
                    <w:ind w:left="0"/>
                    <w:rPr>
                      <w:rFonts w:ascii="Cambria" w:hAnsi="Cambria" w:cs="Arial"/>
                      <w:i/>
                      <w:sz w:val="18"/>
                      <w:szCs w:val="18"/>
                    </w:rPr>
                  </w:pPr>
                  <w:r w:rsidRPr="00985EBC">
                    <w:rPr>
                      <w:rFonts w:ascii="Cambria" w:hAnsi="Cambria" w:cs="Arial"/>
                      <w:i/>
                      <w:sz w:val="18"/>
                      <w:szCs w:val="18"/>
                    </w:rPr>
                    <w:t>Analiza scopului proiectului şi a notei informative;</w:t>
                  </w:r>
                </w:p>
                <w:p w:rsidR="004F0CEC" w:rsidRPr="00985EBC" w:rsidRDefault="004F0CEC" w:rsidP="00985EBC">
                  <w:pPr>
                    <w:pStyle w:val="ListParagraph1"/>
                    <w:tabs>
                      <w:tab w:val="left" w:pos="540"/>
                    </w:tabs>
                    <w:spacing w:after="0" w:line="240" w:lineRule="auto"/>
                    <w:ind w:left="0"/>
                    <w:rPr>
                      <w:rFonts w:ascii="Cambria" w:hAnsi="Cambria" w:cs="Arial"/>
                      <w:i/>
                      <w:sz w:val="18"/>
                      <w:szCs w:val="18"/>
                    </w:rPr>
                  </w:pPr>
                  <w:r w:rsidRPr="00985EBC">
                    <w:rPr>
                      <w:rFonts w:ascii="Cambria" w:hAnsi="Cambria" w:cs="Arial"/>
                      <w:i/>
                      <w:sz w:val="18"/>
                      <w:szCs w:val="18"/>
                    </w:rPr>
                    <w:t>Verificarea respectării principiului transparenţei;</w:t>
                  </w:r>
                </w:p>
                <w:p w:rsidR="004F0CEC" w:rsidRPr="00985EBC" w:rsidRDefault="004F0CEC" w:rsidP="0028383D">
                  <w:pPr>
                    <w:pStyle w:val="ListParagraph1"/>
                    <w:tabs>
                      <w:tab w:val="left" w:pos="540"/>
                    </w:tabs>
                    <w:spacing w:after="0" w:line="240" w:lineRule="auto"/>
                    <w:ind w:left="0"/>
                    <w:rPr>
                      <w:rFonts w:ascii="Cambria" w:hAnsi="Cambria" w:cs="Arial"/>
                      <w:i/>
                      <w:sz w:val="18"/>
                      <w:szCs w:val="18"/>
                    </w:rPr>
                  </w:pPr>
                  <w:r w:rsidRPr="00985EBC">
                    <w:rPr>
                      <w:rFonts w:ascii="Cambria" w:hAnsi="Cambria" w:cs="Arial"/>
                      <w:i/>
                      <w:sz w:val="18"/>
                      <w:szCs w:val="18"/>
                    </w:rPr>
                    <w:t>Verificarea respectării principiului participării;</w:t>
                  </w:r>
                </w:p>
                <w:p w:rsidR="004F0CEC" w:rsidRPr="00985EBC" w:rsidRDefault="004F0CEC" w:rsidP="0028383D">
                  <w:pPr>
                    <w:pStyle w:val="ListParagraph1"/>
                    <w:tabs>
                      <w:tab w:val="left" w:pos="540"/>
                    </w:tabs>
                    <w:spacing w:after="0" w:line="240" w:lineRule="auto"/>
                    <w:ind w:left="0"/>
                    <w:rPr>
                      <w:rFonts w:ascii="Cambria" w:hAnsi="Cambria" w:cs="Arial"/>
                      <w:sz w:val="18"/>
                      <w:szCs w:val="18"/>
                    </w:rPr>
                  </w:pPr>
                  <w:r w:rsidRPr="00985EBC">
                    <w:rPr>
                      <w:rFonts w:ascii="Cambria" w:hAnsi="Cambria" w:cs="Arial"/>
                      <w:i/>
                      <w:sz w:val="18"/>
                      <w:szCs w:val="18"/>
                    </w:rPr>
                    <w:t>Verificarea respectării principiului responsabilizării.</w:t>
                  </w:r>
                </w:p>
                <w:p w:rsidR="004F0CEC" w:rsidRDefault="004F0CEC"/>
              </w:txbxContent>
            </v:textbox>
          </v:roundrect>
        </w:pict>
      </w:r>
    </w:p>
    <w:p w:rsidR="007C69BE" w:rsidRPr="00985EBC" w:rsidRDefault="007C69BE" w:rsidP="00985EBC">
      <w:pPr>
        <w:pStyle w:val="ListParagraph1"/>
        <w:spacing w:after="0" w:line="240" w:lineRule="auto"/>
        <w:ind w:left="0"/>
        <w:jc w:val="center"/>
        <w:rPr>
          <w:rFonts w:ascii="Cambria" w:hAnsi="Cambria" w:cs="Arial"/>
          <w:b/>
          <w:sz w:val="24"/>
          <w:szCs w:val="24"/>
        </w:rPr>
      </w:pPr>
    </w:p>
    <w:p w:rsidR="00503E82" w:rsidRPr="00985EBC" w:rsidRDefault="00503E82" w:rsidP="00985EBC">
      <w:pPr>
        <w:pStyle w:val="ListParagraph1"/>
        <w:spacing w:after="0" w:line="240" w:lineRule="auto"/>
        <w:ind w:left="0"/>
        <w:jc w:val="center"/>
        <w:rPr>
          <w:rFonts w:ascii="Cambria" w:hAnsi="Cambria" w:cs="Arial"/>
          <w:b/>
          <w:sz w:val="24"/>
          <w:szCs w:val="24"/>
        </w:rPr>
      </w:pPr>
    </w:p>
    <w:p w:rsidR="00503E82" w:rsidRPr="00985EBC" w:rsidRDefault="00503E82" w:rsidP="00985EBC">
      <w:pPr>
        <w:pStyle w:val="ListParagraph1"/>
        <w:spacing w:after="0" w:line="240" w:lineRule="auto"/>
        <w:ind w:left="0"/>
        <w:jc w:val="center"/>
        <w:rPr>
          <w:rFonts w:ascii="Cambria" w:hAnsi="Cambria" w:cs="Arial"/>
          <w:b/>
          <w:sz w:val="24"/>
          <w:szCs w:val="24"/>
        </w:rPr>
      </w:pPr>
    </w:p>
    <w:p w:rsidR="00503E82" w:rsidRPr="00985EBC" w:rsidRDefault="00503E82" w:rsidP="00985EBC">
      <w:pPr>
        <w:pStyle w:val="ListParagraph1"/>
        <w:spacing w:after="0" w:line="240" w:lineRule="auto"/>
        <w:ind w:left="0"/>
        <w:jc w:val="center"/>
        <w:rPr>
          <w:rFonts w:ascii="Cambria" w:hAnsi="Cambria" w:cs="Arial"/>
          <w:b/>
          <w:sz w:val="24"/>
          <w:szCs w:val="24"/>
        </w:rPr>
      </w:pPr>
    </w:p>
    <w:p w:rsidR="00503E82" w:rsidRPr="00985EBC" w:rsidRDefault="00503E82" w:rsidP="00985EBC">
      <w:pPr>
        <w:pStyle w:val="ListParagraph1"/>
        <w:spacing w:after="0" w:line="240" w:lineRule="auto"/>
        <w:ind w:left="0"/>
        <w:jc w:val="center"/>
        <w:rPr>
          <w:rFonts w:ascii="Cambria" w:hAnsi="Cambria" w:cs="Arial"/>
          <w:b/>
          <w:sz w:val="24"/>
          <w:szCs w:val="24"/>
        </w:rPr>
      </w:pPr>
    </w:p>
    <w:p w:rsidR="007C69BE" w:rsidRPr="00985EBC" w:rsidRDefault="00AD6E56" w:rsidP="00985EBC">
      <w:pPr>
        <w:pStyle w:val="ListParagraph1"/>
        <w:tabs>
          <w:tab w:val="left" w:pos="540"/>
        </w:tabs>
        <w:spacing w:after="0" w:line="240" w:lineRule="auto"/>
        <w:ind w:left="0" w:hanging="360"/>
        <w:jc w:val="center"/>
        <w:rPr>
          <w:rFonts w:ascii="Cambria" w:hAnsi="Cambria" w:cs="Arial"/>
          <w:sz w:val="24"/>
          <w:szCs w:val="24"/>
        </w:rPr>
      </w:pPr>
      <w:r w:rsidRPr="00AD6E56">
        <w:rPr>
          <w:rFonts w:ascii="Cambria" w:hAnsi="Cambria" w:cs="Arial"/>
          <w:noProof/>
          <w:sz w:val="24"/>
          <w:szCs w:val="24"/>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50pt;margin-top:4.2pt;width:.4pt;height:10.8pt;flip:x;z-index:251661312" o:connectortype="straight">
            <v:stroke endarrow="block"/>
          </v:shape>
        </w:pict>
      </w:r>
    </w:p>
    <w:p w:rsidR="00503E82" w:rsidRPr="00985EBC" w:rsidRDefault="00AD6E56" w:rsidP="00985EBC">
      <w:pPr>
        <w:pStyle w:val="ListParagraph1"/>
        <w:spacing w:after="0" w:line="240" w:lineRule="auto"/>
        <w:ind w:left="0"/>
        <w:jc w:val="center"/>
        <w:rPr>
          <w:rFonts w:ascii="Cambria" w:hAnsi="Cambria" w:cs="Arial"/>
          <w:sz w:val="24"/>
          <w:szCs w:val="24"/>
          <w:u w:val="single"/>
        </w:rPr>
      </w:pPr>
      <w:r w:rsidRPr="00AD6E56">
        <w:rPr>
          <w:rFonts w:ascii="Cambria" w:hAnsi="Cambria" w:cs="Arial"/>
          <w:noProof/>
          <w:sz w:val="24"/>
          <w:szCs w:val="24"/>
          <w:u w:val="single"/>
          <w:lang w:eastAsia="ru-RU"/>
        </w:rPr>
        <w:pict>
          <v:roundrect id="_x0000_s1029" style="position:absolute;left:0;text-align:left;margin-left:38.65pt;margin-top:3.95pt;width:422.8pt;height:86.55pt;z-index:251659264" arcsize="10923f" fillcolor="#b8cce4 [1300]" strokecolor="#17365d [2415]">
            <v:textbox style="mso-next-textbox:#_x0000_s1029">
              <w:txbxContent>
                <w:p w:rsidR="004F0CEC" w:rsidRDefault="004F0CEC" w:rsidP="0028383D">
                  <w:pPr>
                    <w:pStyle w:val="ListParagraph1"/>
                    <w:spacing w:after="0" w:line="240" w:lineRule="auto"/>
                    <w:ind w:left="0"/>
                    <w:jc w:val="center"/>
                    <w:rPr>
                      <w:rFonts w:ascii="Cambria" w:hAnsi="Cambria" w:cs="Arial"/>
                      <w:b/>
                      <w:sz w:val="24"/>
                      <w:szCs w:val="24"/>
                    </w:rPr>
                  </w:pPr>
                  <w:r w:rsidRPr="0028383D">
                    <w:rPr>
                      <w:rFonts w:ascii="Cambria" w:hAnsi="Cambria" w:cs="Arial"/>
                      <w:b/>
                      <w:sz w:val="24"/>
                      <w:szCs w:val="24"/>
                    </w:rPr>
                    <w:t>Evaluarea în fond a proiectului</w:t>
                  </w:r>
                </w:p>
                <w:p w:rsidR="004F0CEC" w:rsidRPr="0028383D" w:rsidRDefault="004F0CEC" w:rsidP="0028383D">
                  <w:pPr>
                    <w:pStyle w:val="ListParagraph1"/>
                    <w:spacing w:after="0" w:line="240" w:lineRule="auto"/>
                    <w:ind w:left="0"/>
                    <w:jc w:val="center"/>
                    <w:rPr>
                      <w:rFonts w:ascii="Cambria" w:hAnsi="Cambria" w:cs="Arial"/>
                      <w:b/>
                      <w:sz w:val="16"/>
                      <w:szCs w:val="16"/>
                    </w:rPr>
                  </w:pPr>
                </w:p>
                <w:p w:rsidR="004F0CEC" w:rsidRPr="0028383D" w:rsidRDefault="004F0CEC" w:rsidP="0028383D">
                  <w:pPr>
                    <w:pStyle w:val="ListParagraph1"/>
                    <w:spacing w:after="0" w:line="240" w:lineRule="auto"/>
                    <w:ind w:left="0"/>
                    <w:jc w:val="both"/>
                    <w:rPr>
                      <w:rFonts w:ascii="Cambria" w:hAnsi="Cambria" w:cs="Arial"/>
                      <w:i/>
                      <w:sz w:val="16"/>
                      <w:szCs w:val="16"/>
                    </w:rPr>
                  </w:pPr>
                  <w:r w:rsidRPr="0028383D">
                    <w:rPr>
                      <w:rFonts w:ascii="Cambria" w:hAnsi="Cambria" w:cs="Arial"/>
                      <w:i/>
                      <w:sz w:val="16"/>
                      <w:szCs w:val="16"/>
                    </w:rPr>
                    <w:t>Specificarea domeniului de reglementare</w:t>
                  </w:r>
                  <w:r>
                    <w:rPr>
                      <w:rFonts w:ascii="Cambria" w:hAnsi="Cambria" w:cs="Arial"/>
                      <w:i/>
                      <w:sz w:val="16"/>
                      <w:szCs w:val="16"/>
                    </w:rPr>
                    <w:t>;</w:t>
                  </w:r>
                  <w:r w:rsidRPr="0028383D">
                    <w:rPr>
                      <w:rFonts w:ascii="Cambria" w:hAnsi="Cambria" w:cs="Arial"/>
                      <w:i/>
                      <w:sz w:val="16"/>
                      <w:szCs w:val="16"/>
                    </w:rPr>
                    <w:t xml:space="preserve"> </w:t>
                  </w:r>
                </w:p>
                <w:p w:rsidR="004F0CEC" w:rsidRPr="0028383D" w:rsidRDefault="004F0CEC" w:rsidP="0028383D">
                  <w:pPr>
                    <w:rPr>
                      <w:rFonts w:ascii="Cambria" w:hAnsi="Cambria" w:cs="Arial"/>
                      <w:i/>
                      <w:sz w:val="16"/>
                      <w:szCs w:val="16"/>
                      <w:lang w:val="ro-RO"/>
                    </w:rPr>
                  </w:pPr>
                  <w:r w:rsidRPr="0028383D">
                    <w:rPr>
                      <w:rFonts w:ascii="Cambria" w:hAnsi="Cambria" w:cs="Arial"/>
                      <w:i/>
                      <w:sz w:val="16"/>
                      <w:szCs w:val="16"/>
                      <w:lang w:val="ro-RO"/>
                    </w:rPr>
                    <w:t>Analiza nivelului de corespundere a proiectului standardelor în domeniul drepturilor omului şi egalităţii gender</w:t>
                  </w:r>
                  <w:r>
                    <w:rPr>
                      <w:rFonts w:ascii="Cambria" w:hAnsi="Cambria" w:cs="Arial"/>
                      <w:i/>
                      <w:sz w:val="16"/>
                      <w:szCs w:val="16"/>
                      <w:lang w:val="ro-RO"/>
                    </w:rPr>
                    <w:t>;</w:t>
                  </w:r>
                </w:p>
                <w:p w:rsidR="004F0CEC" w:rsidRPr="0028383D" w:rsidRDefault="004F0CEC" w:rsidP="00985EBC">
                  <w:pPr>
                    <w:pStyle w:val="ListParagraph1"/>
                    <w:spacing w:after="0" w:line="240" w:lineRule="auto"/>
                    <w:ind w:left="0"/>
                    <w:rPr>
                      <w:rFonts w:ascii="Cambria" w:hAnsi="Cambria" w:cs="Arial"/>
                      <w:i/>
                      <w:sz w:val="16"/>
                      <w:szCs w:val="16"/>
                    </w:rPr>
                  </w:pPr>
                  <w:r w:rsidRPr="0028383D">
                    <w:rPr>
                      <w:rFonts w:ascii="Cambria" w:hAnsi="Cambria" w:cs="Arial"/>
                      <w:i/>
                      <w:sz w:val="16"/>
                      <w:szCs w:val="16"/>
                    </w:rPr>
                    <w:t>Analiza nivelului de corespundere a proiectului jurisprudenţei Curţii Constituţionale şi jurisprudenţei CtEDO</w:t>
                  </w:r>
                  <w:r>
                    <w:rPr>
                      <w:rFonts w:ascii="Cambria" w:hAnsi="Cambria" w:cs="Arial"/>
                      <w:i/>
                      <w:sz w:val="16"/>
                      <w:szCs w:val="16"/>
                    </w:rPr>
                    <w:t>;</w:t>
                  </w:r>
                </w:p>
                <w:p w:rsidR="004F0CEC" w:rsidRPr="0028383D" w:rsidRDefault="004F0CEC" w:rsidP="0028383D">
                  <w:pPr>
                    <w:pStyle w:val="ListParagraph1"/>
                    <w:spacing w:after="0" w:line="240" w:lineRule="auto"/>
                    <w:ind w:left="0"/>
                    <w:jc w:val="both"/>
                    <w:rPr>
                      <w:rFonts w:ascii="Cambria" w:hAnsi="Cambria" w:cs="Arial"/>
                      <w:i/>
                      <w:sz w:val="16"/>
                      <w:szCs w:val="16"/>
                    </w:rPr>
                  </w:pPr>
                  <w:r w:rsidRPr="0028383D">
                    <w:rPr>
                      <w:rFonts w:ascii="Cambria" w:hAnsi="Cambria" w:cs="Arial"/>
                      <w:i/>
                      <w:sz w:val="16"/>
                      <w:szCs w:val="16"/>
                    </w:rPr>
                    <w:t>Analiza eventualului impact al proiectului</w:t>
                  </w:r>
                  <w:r>
                    <w:rPr>
                      <w:rFonts w:ascii="Cambria" w:hAnsi="Cambria" w:cs="Arial"/>
                      <w:i/>
                      <w:sz w:val="16"/>
                      <w:szCs w:val="16"/>
                    </w:rPr>
                    <w:t>;</w:t>
                  </w:r>
                </w:p>
                <w:p w:rsidR="004F0CEC" w:rsidRPr="0028383D" w:rsidRDefault="004F0CEC" w:rsidP="0028383D">
                  <w:pPr>
                    <w:pStyle w:val="ListParagraph1"/>
                    <w:spacing w:after="0" w:line="240" w:lineRule="auto"/>
                    <w:ind w:left="0"/>
                    <w:jc w:val="both"/>
                    <w:rPr>
                      <w:rFonts w:ascii="Cambria" w:hAnsi="Cambria" w:cs="Arial"/>
                      <w:sz w:val="16"/>
                      <w:szCs w:val="16"/>
                    </w:rPr>
                  </w:pPr>
                  <w:r w:rsidRPr="0028383D">
                    <w:rPr>
                      <w:rFonts w:ascii="Cambria" w:hAnsi="Cambria" w:cs="Arial"/>
                      <w:i/>
                      <w:sz w:val="16"/>
                      <w:szCs w:val="16"/>
                    </w:rPr>
                    <w:t>Identificarea factorilor de vulnerabilitate</w:t>
                  </w:r>
                  <w:r>
                    <w:rPr>
                      <w:rFonts w:ascii="Cambria" w:hAnsi="Cambria" w:cs="Arial"/>
                      <w:i/>
                      <w:sz w:val="16"/>
                      <w:szCs w:val="16"/>
                    </w:rPr>
                    <w:t>;</w:t>
                  </w:r>
                </w:p>
                <w:p w:rsidR="004F0CEC" w:rsidRDefault="004F0CEC"/>
              </w:txbxContent>
            </v:textbox>
          </v:roundrect>
        </w:pict>
      </w:r>
    </w:p>
    <w:p w:rsidR="00503E82" w:rsidRPr="00985EBC" w:rsidRDefault="00503E82" w:rsidP="00985EBC">
      <w:pPr>
        <w:pStyle w:val="ListParagraph1"/>
        <w:spacing w:after="0" w:line="240" w:lineRule="auto"/>
        <w:ind w:left="0"/>
        <w:jc w:val="center"/>
        <w:rPr>
          <w:rFonts w:ascii="Cambria" w:hAnsi="Cambria" w:cs="Arial"/>
          <w:sz w:val="24"/>
          <w:szCs w:val="24"/>
          <w:u w:val="single"/>
        </w:rPr>
      </w:pPr>
    </w:p>
    <w:p w:rsidR="00503E82" w:rsidRPr="00985EBC" w:rsidRDefault="00503E82" w:rsidP="00985EBC">
      <w:pPr>
        <w:pStyle w:val="ListParagraph1"/>
        <w:spacing w:after="0" w:line="240" w:lineRule="auto"/>
        <w:ind w:left="0"/>
        <w:jc w:val="center"/>
        <w:rPr>
          <w:rFonts w:ascii="Cambria" w:hAnsi="Cambria" w:cs="Arial"/>
          <w:sz w:val="24"/>
          <w:szCs w:val="24"/>
          <w:u w:val="single"/>
        </w:rPr>
      </w:pPr>
    </w:p>
    <w:p w:rsidR="00503E82" w:rsidRPr="00985EBC" w:rsidRDefault="00503E82" w:rsidP="00985EBC">
      <w:pPr>
        <w:pStyle w:val="ListParagraph1"/>
        <w:spacing w:after="0" w:line="240" w:lineRule="auto"/>
        <w:ind w:left="0"/>
        <w:jc w:val="center"/>
        <w:rPr>
          <w:rFonts w:ascii="Cambria" w:hAnsi="Cambria" w:cs="Arial"/>
          <w:sz w:val="24"/>
          <w:szCs w:val="24"/>
          <w:u w:val="single"/>
        </w:rPr>
      </w:pPr>
    </w:p>
    <w:p w:rsidR="00503E82" w:rsidRPr="00985EBC" w:rsidRDefault="00503E82" w:rsidP="00985EBC">
      <w:pPr>
        <w:pStyle w:val="ListParagraph1"/>
        <w:spacing w:after="0" w:line="240" w:lineRule="auto"/>
        <w:ind w:left="0"/>
        <w:jc w:val="center"/>
        <w:rPr>
          <w:rFonts w:ascii="Cambria" w:hAnsi="Cambria" w:cs="Arial"/>
          <w:sz w:val="24"/>
          <w:szCs w:val="24"/>
          <w:u w:val="single"/>
        </w:rPr>
      </w:pPr>
    </w:p>
    <w:p w:rsidR="0028383D" w:rsidRPr="00985EBC" w:rsidRDefault="0028383D" w:rsidP="00985EBC">
      <w:pPr>
        <w:pStyle w:val="ListParagraph1"/>
        <w:spacing w:after="0" w:line="240" w:lineRule="auto"/>
        <w:ind w:left="0"/>
        <w:jc w:val="center"/>
        <w:rPr>
          <w:rFonts w:ascii="Cambria" w:hAnsi="Cambria" w:cs="Arial"/>
          <w:sz w:val="24"/>
          <w:szCs w:val="24"/>
          <w:u w:val="single"/>
        </w:rPr>
      </w:pPr>
    </w:p>
    <w:p w:rsidR="0028383D" w:rsidRPr="00985EBC" w:rsidRDefault="00AD6E56" w:rsidP="00985EBC">
      <w:pPr>
        <w:pStyle w:val="ListParagraph1"/>
        <w:spacing w:after="0" w:line="240" w:lineRule="auto"/>
        <w:ind w:left="0"/>
        <w:jc w:val="center"/>
        <w:rPr>
          <w:rFonts w:ascii="Cambria" w:hAnsi="Cambria" w:cs="Arial"/>
          <w:sz w:val="24"/>
          <w:szCs w:val="24"/>
          <w:u w:val="single"/>
        </w:rPr>
      </w:pPr>
      <w:r w:rsidRPr="00AD6E56">
        <w:rPr>
          <w:rFonts w:ascii="Cambria" w:hAnsi="Cambria" w:cs="Arial"/>
          <w:noProof/>
          <w:sz w:val="24"/>
          <w:szCs w:val="24"/>
          <w:u w:val="single"/>
          <w:lang w:eastAsia="ru-RU"/>
        </w:rPr>
        <w:pict>
          <v:shape id="_x0000_s1033" type="#_x0000_t32" style="position:absolute;left:0;text-align:left;margin-left:253.3pt;margin-top:6.1pt;width:.4pt;height:19.1pt;flip:x;z-index:251662336" o:connectortype="straight">
            <v:stroke endarrow="block"/>
          </v:shape>
        </w:pict>
      </w:r>
    </w:p>
    <w:p w:rsidR="00503E82" w:rsidRPr="00985EBC" w:rsidRDefault="00503E82" w:rsidP="00985EBC">
      <w:pPr>
        <w:pStyle w:val="ListParagraph1"/>
        <w:spacing w:after="0" w:line="240" w:lineRule="auto"/>
        <w:ind w:left="0"/>
        <w:jc w:val="center"/>
        <w:rPr>
          <w:rFonts w:ascii="Cambria" w:hAnsi="Cambria" w:cs="Arial"/>
          <w:sz w:val="24"/>
          <w:szCs w:val="24"/>
          <w:u w:val="single"/>
        </w:rPr>
      </w:pPr>
    </w:p>
    <w:p w:rsidR="0028383D" w:rsidRPr="00985EBC" w:rsidRDefault="00AD6E56" w:rsidP="00985EBC">
      <w:pPr>
        <w:pStyle w:val="ListParagraph1"/>
        <w:spacing w:after="0" w:line="240" w:lineRule="auto"/>
        <w:ind w:left="0"/>
        <w:jc w:val="center"/>
        <w:rPr>
          <w:rFonts w:ascii="Cambria" w:hAnsi="Cambria" w:cs="Arial"/>
          <w:sz w:val="24"/>
          <w:szCs w:val="24"/>
          <w:u w:val="single"/>
        </w:rPr>
      </w:pPr>
      <w:r w:rsidRPr="00AD6E56">
        <w:rPr>
          <w:rFonts w:ascii="Cambria" w:hAnsi="Cambria" w:cs="Arial"/>
          <w:noProof/>
          <w:sz w:val="24"/>
          <w:szCs w:val="24"/>
          <w:u w:val="single"/>
          <w:lang w:eastAsia="ru-RU"/>
        </w:rPr>
        <w:pict>
          <v:roundrect id="_x0000_s1030" style="position:absolute;left:0;text-align:left;margin-left:88.45pt;margin-top:.5pt;width:304.85pt;height:54pt;z-index:251660288" arcsize="10923f" fillcolor="#b8cce4 [1300]" strokecolor="#17365d [2415]">
            <v:textbox style="mso-next-textbox:#_x0000_s1030">
              <w:txbxContent>
                <w:p w:rsidR="004F0CEC" w:rsidRPr="0028383D" w:rsidRDefault="004F0CEC" w:rsidP="0028383D">
                  <w:pPr>
                    <w:jc w:val="center"/>
                    <w:rPr>
                      <w:rFonts w:ascii="Cambria" w:hAnsi="Cambria" w:cs="Arial"/>
                      <w:b/>
                      <w:sz w:val="24"/>
                      <w:szCs w:val="24"/>
                      <w:lang w:val="ro-RO"/>
                    </w:rPr>
                  </w:pPr>
                  <w:r w:rsidRPr="0028383D">
                    <w:rPr>
                      <w:rFonts w:ascii="Cambria" w:hAnsi="Cambria" w:cs="Arial"/>
                      <w:b/>
                      <w:sz w:val="24"/>
                      <w:szCs w:val="24"/>
                      <w:lang w:val="ro-RO"/>
                    </w:rPr>
                    <w:t>Formularea concluziilor</w:t>
                  </w:r>
                </w:p>
                <w:p w:rsidR="004F0CEC" w:rsidRPr="0028383D" w:rsidRDefault="004F0CEC" w:rsidP="0028383D">
                  <w:pPr>
                    <w:rPr>
                      <w:rFonts w:ascii="Cambria" w:hAnsi="Cambria" w:cs="Arial"/>
                      <w:sz w:val="16"/>
                      <w:szCs w:val="16"/>
                      <w:lang w:val="ro-RO"/>
                    </w:rPr>
                  </w:pPr>
                </w:p>
                <w:p w:rsidR="004F0CEC" w:rsidRPr="0028383D" w:rsidRDefault="004F0CEC" w:rsidP="00985EBC">
                  <w:pPr>
                    <w:jc w:val="center"/>
                    <w:rPr>
                      <w:rFonts w:ascii="Cambria" w:hAnsi="Cambria" w:cs="Arial"/>
                      <w:b/>
                      <w:i/>
                      <w:sz w:val="16"/>
                      <w:szCs w:val="16"/>
                      <w:lang w:val="ro-RO"/>
                    </w:rPr>
                  </w:pPr>
                  <w:r w:rsidRPr="0028383D">
                    <w:rPr>
                      <w:rFonts w:ascii="Cambria" w:hAnsi="Cambria" w:cs="Arial"/>
                      <w:i/>
                      <w:sz w:val="16"/>
                      <w:szCs w:val="16"/>
                      <w:lang w:val="ro-RO"/>
                    </w:rPr>
                    <w:t>Generalizarea constatărilor expertului urmare a evaluării generale şi de fond a proiectului</w:t>
                  </w:r>
                </w:p>
                <w:p w:rsidR="004F0CEC" w:rsidRPr="003717C1" w:rsidRDefault="004F0CEC">
                  <w:pPr>
                    <w:rPr>
                      <w:lang w:val="en-US"/>
                    </w:rPr>
                  </w:pPr>
                </w:p>
              </w:txbxContent>
            </v:textbox>
          </v:roundrect>
        </w:pict>
      </w:r>
    </w:p>
    <w:p w:rsidR="007C69BE" w:rsidRPr="00985EBC" w:rsidRDefault="007C69BE" w:rsidP="00985EBC">
      <w:pPr>
        <w:pStyle w:val="ListParagraph1"/>
        <w:spacing w:after="0" w:line="240" w:lineRule="auto"/>
        <w:ind w:left="0"/>
        <w:jc w:val="center"/>
        <w:rPr>
          <w:rFonts w:ascii="Cambria" w:hAnsi="Cambria" w:cs="Arial"/>
          <w:sz w:val="24"/>
          <w:szCs w:val="24"/>
        </w:rPr>
      </w:pPr>
    </w:p>
    <w:p w:rsidR="0028383D" w:rsidRPr="00985EBC" w:rsidRDefault="0028383D" w:rsidP="00985EBC">
      <w:pPr>
        <w:jc w:val="center"/>
        <w:rPr>
          <w:rFonts w:ascii="Cambria" w:hAnsi="Cambria" w:cs="Arial"/>
          <w:b/>
          <w:sz w:val="24"/>
          <w:szCs w:val="24"/>
          <w:lang w:val="ro-RO"/>
        </w:rPr>
      </w:pPr>
    </w:p>
    <w:p w:rsidR="0028383D" w:rsidRPr="00985EBC" w:rsidRDefault="0028383D" w:rsidP="00985EBC">
      <w:pPr>
        <w:jc w:val="center"/>
        <w:rPr>
          <w:rFonts w:ascii="Cambria" w:hAnsi="Cambria" w:cs="Arial"/>
          <w:b/>
          <w:sz w:val="24"/>
          <w:szCs w:val="24"/>
          <w:lang w:val="ro-RO"/>
        </w:rPr>
      </w:pPr>
    </w:p>
    <w:p w:rsidR="007C69BE" w:rsidRPr="00985EBC" w:rsidRDefault="007C69BE" w:rsidP="00985EBC">
      <w:pPr>
        <w:jc w:val="center"/>
        <w:rPr>
          <w:rFonts w:ascii="Cambria" w:hAnsi="Cambria" w:cs="Arial"/>
          <w:sz w:val="24"/>
          <w:szCs w:val="24"/>
          <w:lang w:val="ro-RO" w:eastAsia="ja-JP"/>
        </w:rPr>
      </w:pPr>
    </w:p>
    <w:p w:rsidR="007C69BE" w:rsidRPr="00985EBC" w:rsidRDefault="007C69BE" w:rsidP="007C69BE">
      <w:pPr>
        <w:rPr>
          <w:rFonts w:ascii="Cambria" w:hAnsi="Cambria" w:cs="Arial"/>
          <w:sz w:val="24"/>
          <w:szCs w:val="24"/>
          <w:lang w:val="ro-RO" w:eastAsia="ja-JP"/>
        </w:rPr>
      </w:pPr>
    </w:p>
    <w:p w:rsidR="00783079" w:rsidRPr="00985EBC" w:rsidRDefault="00783079">
      <w:pPr>
        <w:rPr>
          <w:rFonts w:asciiTheme="majorHAnsi" w:hAnsiTheme="majorHAnsi"/>
          <w:sz w:val="24"/>
          <w:szCs w:val="24"/>
          <w:lang w:val="ro-RO"/>
        </w:rPr>
      </w:pPr>
    </w:p>
    <w:p w:rsidR="005D5508" w:rsidRPr="00985EBC" w:rsidRDefault="00F56431" w:rsidP="007139C9">
      <w:pPr>
        <w:pStyle w:val="Heading1"/>
        <w:rPr>
          <w:lang w:val="ro-RO"/>
        </w:rPr>
      </w:pPr>
      <w:bookmarkStart w:id="8" w:name="_Toc409790615"/>
      <w:r w:rsidRPr="00985EBC">
        <w:rPr>
          <w:lang w:val="ro-RO"/>
        </w:rPr>
        <w:t xml:space="preserve">II.2 </w:t>
      </w:r>
      <w:r w:rsidR="0020233D" w:rsidRPr="00985EBC">
        <w:rPr>
          <w:lang w:val="ro-RO"/>
        </w:rPr>
        <w:t>E-template de efectuare a expertizei legislaţiei din perspectiva drepturilor omului</w:t>
      </w:r>
      <w:bookmarkEnd w:id="8"/>
    </w:p>
    <w:p w:rsidR="0020233D" w:rsidRPr="00985EBC" w:rsidRDefault="0020233D" w:rsidP="00F52EB2">
      <w:pPr>
        <w:rPr>
          <w:rFonts w:ascii="Calibri" w:hAnsi="Calibri"/>
          <w:color w:val="000000" w:themeColor="text1"/>
          <w:lang w:val="ro-RO"/>
        </w:rPr>
      </w:pPr>
    </w:p>
    <w:p w:rsidR="00203A09" w:rsidRPr="00985EBC" w:rsidRDefault="005D5508" w:rsidP="00203A09">
      <w:pPr>
        <w:rPr>
          <w:rFonts w:asciiTheme="majorHAnsi" w:hAnsiTheme="majorHAnsi" w:cs="Arial"/>
          <w:sz w:val="24"/>
          <w:szCs w:val="24"/>
          <w:lang w:val="ro-RO"/>
        </w:rPr>
      </w:pPr>
      <w:r w:rsidRPr="00985EBC">
        <w:rPr>
          <w:rFonts w:asciiTheme="majorHAnsi" w:hAnsiTheme="majorHAnsi"/>
          <w:sz w:val="24"/>
          <w:szCs w:val="24"/>
          <w:lang w:val="ro-RO"/>
        </w:rPr>
        <w:t xml:space="preserve">E-template de efectuare a expertizei legislaţiei din perspectiva drepturilor omului (în continuare e-template) a fost elaborat reieşind din necesităţile experţilor CAPC şi </w:t>
      </w:r>
      <w:r w:rsidR="00F52EB2" w:rsidRPr="00985EBC">
        <w:rPr>
          <w:rFonts w:asciiTheme="majorHAnsi" w:hAnsiTheme="majorHAnsi"/>
          <w:sz w:val="24"/>
          <w:szCs w:val="24"/>
          <w:lang w:val="ro-RO"/>
        </w:rPr>
        <w:t xml:space="preserve">logica </w:t>
      </w:r>
      <w:r w:rsidRPr="00985EBC">
        <w:rPr>
          <w:rFonts w:asciiTheme="majorHAnsi" w:hAnsiTheme="majorHAnsi"/>
          <w:sz w:val="24"/>
          <w:szCs w:val="24"/>
          <w:lang w:val="ro-RO"/>
        </w:rPr>
        <w:t>Ghidului</w:t>
      </w:r>
      <w:r w:rsidRPr="00985EBC">
        <w:rPr>
          <w:rFonts w:asciiTheme="majorHAnsi" w:hAnsiTheme="majorHAnsi" w:cs="Arial"/>
          <w:sz w:val="24"/>
          <w:szCs w:val="24"/>
          <w:lang w:val="ro-RO"/>
        </w:rPr>
        <w:t xml:space="preserve"> pentru efectuarea expertizei vulnerabilităţii proiectelor de acte normative prin prisma drepturilor omului şi egalităţii gender</w:t>
      </w:r>
      <w:r w:rsidR="00203A09" w:rsidRPr="00985EBC">
        <w:rPr>
          <w:rFonts w:asciiTheme="majorHAnsi" w:hAnsiTheme="majorHAnsi" w:cs="Arial"/>
          <w:sz w:val="24"/>
          <w:szCs w:val="24"/>
          <w:lang w:val="ro-RO"/>
        </w:rPr>
        <w:t>, fiind sistematizate într-o schemă model toate elementele  conţinute în Ghid.</w:t>
      </w:r>
    </w:p>
    <w:p w:rsidR="00F52EB2" w:rsidRPr="00985EBC" w:rsidRDefault="00F52EB2" w:rsidP="00F52EB2">
      <w:pPr>
        <w:rPr>
          <w:rFonts w:asciiTheme="majorHAnsi" w:hAnsiTheme="majorHAnsi" w:cs="Arial"/>
          <w:sz w:val="24"/>
          <w:szCs w:val="24"/>
          <w:lang w:val="ro-RO"/>
        </w:rPr>
      </w:pPr>
    </w:p>
    <w:p w:rsidR="00F52EB2" w:rsidRPr="00985EBC" w:rsidRDefault="00F52EB2" w:rsidP="00F52EB2">
      <w:pPr>
        <w:rPr>
          <w:rFonts w:asciiTheme="majorHAnsi" w:hAnsiTheme="majorHAnsi" w:cs="Arial"/>
          <w:sz w:val="24"/>
          <w:szCs w:val="24"/>
          <w:lang w:val="ro-RO"/>
        </w:rPr>
      </w:pPr>
      <w:r w:rsidRPr="00985EBC">
        <w:rPr>
          <w:rFonts w:asciiTheme="majorHAnsi" w:hAnsiTheme="majorHAnsi" w:cs="Arial"/>
          <w:sz w:val="24"/>
          <w:szCs w:val="24"/>
          <w:lang w:val="ro-RO"/>
        </w:rPr>
        <w:t xml:space="preserve">În procesul de elaborare a </w:t>
      </w:r>
      <w:r w:rsidR="00203A09" w:rsidRPr="00985EBC">
        <w:rPr>
          <w:rFonts w:asciiTheme="majorHAnsi" w:hAnsiTheme="majorHAnsi" w:cs="Arial"/>
          <w:sz w:val="24"/>
          <w:szCs w:val="24"/>
          <w:lang w:val="ro-RO"/>
        </w:rPr>
        <w:t xml:space="preserve">e-template </w:t>
      </w:r>
      <w:r w:rsidRPr="00985EBC">
        <w:rPr>
          <w:rFonts w:asciiTheme="majorHAnsi" w:hAnsiTheme="majorHAnsi" w:cs="Arial"/>
          <w:sz w:val="24"/>
          <w:szCs w:val="24"/>
          <w:lang w:val="ro-RO"/>
        </w:rPr>
        <w:t xml:space="preserve">s-a ţinut cont de următoarele cerinţe pe care </w:t>
      </w:r>
      <w:r w:rsidR="00203A09" w:rsidRPr="00985EBC">
        <w:rPr>
          <w:rFonts w:asciiTheme="majorHAnsi" w:hAnsiTheme="majorHAnsi" w:cs="Arial"/>
          <w:sz w:val="24"/>
          <w:szCs w:val="24"/>
          <w:lang w:val="ro-RO"/>
        </w:rPr>
        <w:t>acesta le întruneşte</w:t>
      </w:r>
      <w:r w:rsidRPr="00985EBC">
        <w:rPr>
          <w:rFonts w:asciiTheme="majorHAnsi" w:hAnsiTheme="majorHAnsi" w:cs="Arial"/>
          <w:sz w:val="24"/>
          <w:szCs w:val="24"/>
          <w:lang w:val="ro-RO"/>
        </w:rPr>
        <w:t>:</w:t>
      </w:r>
    </w:p>
    <w:p w:rsidR="00F52EB2" w:rsidRPr="00985EBC" w:rsidRDefault="00203A09" w:rsidP="00985EBC">
      <w:pPr>
        <w:pStyle w:val="ListParagraph"/>
        <w:numPr>
          <w:ilvl w:val="0"/>
          <w:numId w:val="14"/>
        </w:numPr>
        <w:jc w:val="both"/>
        <w:rPr>
          <w:rFonts w:asciiTheme="majorHAnsi" w:hAnsiTheme="majorHAnsi" w:cs="Arial"/>
          <w:lang w:val="ro-RO"/>
        </w:rPr>
      </w:pPr>
      <w:r w:rsidRPr="00985EBC">
        <w:rPr>
          <w:rFonts w:asciiTheme="majorHAnsi" w:hAnsiTheme="majorHAnsi" w:cs="Arial"/>
          <w:lang w:val="ro-RO"/>
        </w:rPr>
        <w:t>p</w:t>
      </w:r>
      <w:r w:rsidR="00F52EB2" w:rsidRPr="00985EBC">
        <w:rPr>
          <w:rFonts w:asciiTheme="majorHAnsi" w:hAnsiTheme="majorHAnsi" w:cs="Arial"/>
          <w:lang w:val="ro-RO"/>
        </w:rPr>
        <w:t>osibilitatea experţilor de a efectua expertiza actelor normative la distanţă;</w:t>
      </w:r>
    </w:p>
    <w:p w:rsidR="00F52EB2" w:rsidRPr="00985EBC" w:rsidRDefault="00203A09" w:rsidP="00985EBC">
      <w:pPr>
        <w:pStyle w:val="ListParagraph"/>
        <w:numPr>
          <w:ilvl w:val="0"/>
          <w:numId w:val="14"/>
        </w:numPr>
        <w:jc w:val="both"/>
        <w:rPr>
          <w:rFonts w:asciiTheme="majorHAnsi" w:hAnsiTheme="majorHAnsi" w:cs="Arial"/>
          <w:lang w:val="ro-RO"/>
        </w:rPr>
      </w:pPr>
      <w:r w:rsidRPr="00985EBC">
        <w:rPr>
          <w:rFonts w:asciiTheme="majorHAnsi" w:hAnsiTheme="majorHAnsi" w:cs="Arial"/>
          <w:lang w:val="ro-RO"/>
        </w:rPr>
        <w:t xml:space="preserve">posibilitatea </w:t>
      </w:r>
      <w:r w:rsidR="00F52EB2" w:rsidRPr="00985EBC">
        <w:rPr>
          <w:rFonts w:asciiTheme="majorHAnsi" w:hAnsiTheme="majorHAnsi" w:cs="Arial"/>
          <w:lang w:val="ro-RO"/>
        </w:rPr>
        <w:t xml:space="preserve">redactării unei expertize de către mai mulţi experţi; </w:t>
      </w:r>
    </w:p>
    <w:p w:rsidR="00F52EB2" w:rsidRPr="00985EBC" w:rsidRDefault="00E94DC7" w:rsidP="00985EBC">
      <w:pPr>
        <w:pStyle w:val="ListParagraph"/>
        <w:numPr>
          <w:ilvl w:val="0"/>
          <w:numId w:val="14"/>
        </w:numPr>
        <w:jc w:val="both"/>
        <w:rPr>
          <w:rFonts w:asciiTheme="majorHAnsi" w:hAnsiTheme="majorHAnsi" w:cs="Arial"/>
          <w:lang w:val="ro-RO"/>
        </w:rPr>
      </w:pPr>
      <w:r>
        <w:rPr>
          <w:rFonts w:asciiTheme="majorHAnsi" w:hAnsiTheme="majorHAnsi" w:cs="Arial"/>
          <w:lang w:val="ro-RO"/>
        </w:rPr>
        <w:lastRenderedPageBreak/>
        <w:t xml:space="preserve">ţinerea </w:t>
      </w:r>
      <w:r w:rsidR="00203A09" w:rsidRPr="00985EBC">
        <w:rPr>
          <w:rFonts w:asciiTheme="majorHAnsi" w:hAnsiTheme="majorHAnsi" w:cs="Arial"/>
          <w:lang w:val="ro-RO"/>
        </w:rPr>
        <w:t>statistic</w:t>
      </w:r>
      <w:r>
        <w:rPr>
          <w:rFonts w:asciiTheme="majorHAnsi" w:hAnsiTheme="majorHAnsi" w:cs="Arial"/>
          <w:lang w:val="ro-RO"/>
        </w:rPr>
        <w:t xml:space="preserve">ii </w:t>
      </w:r>
      <w:r w:rsidR="00F52EB2" w:rsidRPr="00985EBC">
        <w:rPr>
          <w:rFonts w:asciiTheme="majorHAnsi" w:hAnsiTheme="majorHAnsi" w:cs="Arial"/>
          <w:lang w:val="ro-RO"/>
        </w:rPr>
        <w:t>la zi privind numărul şi tipul exact al recomandărilor de ajustare a legislaţiei Republicii Moldova la exigenţele drepturilor omului şi egalităţii gender;</w:t>
      </w:r>
    </w:p>
    <w:p w:rsidR="00F52EB2" w:rsidRPr="00985EBC" w:rsidRDefault="00203A09" w:rsidP="00985EBC">
      <w:pPr>
        <w:pStyle w:val="ListParagraph"/>
        <w:numPr>
          <w:ilvl w:val="0"/>
          <w:numId w:val="14"/>
        </w:numPr>
        <w:jc w:val="both"/>
        <w:rPr>
          <w:rFonts w:asciiTheme="majorHAnsi" w:hAnsiTheme="majorHAnsi" w:cs="Arial"/>
          <w:lang w:val="ro-RO"/>
        </w:rPr>
      </w:pPr>
      <w:r w:rsidRPr="00985EBC">
        <w:rPr>
          <w:rFonts w:asciiTheme="majorHAnsi" w:hAnsiTheme="majorHAnsi" w:cs="Arial"/>
          <w:lang w:val="ro-RO"/>
        </w:rPr>
        <w:t xml:space="preserve">ţinerea </w:t>
      </w:r>
      <w:r w:rsidR="00F52EB2" w:rsidRPr="00985EBC">
        <w:rPr>
          <w:rFonts w:asciiTheme="majorHAnsi" w:hAnsiTheme="majorHAnsi" w:cs="Arial"/>
          <w:lang w:val="ro-RO"/>
        </w:rPr>
        <w:t>statisticii la zi privind eficienţa recomandărilor de ajustare a legislaţiei Republicii Moldova la exigenţele drepturilor omului şi egalităţii gender;</w:t>
      </w:r>
    </w:p>
    <w:p w:rsidR="00F52EB2" w:rsidRPr="00985EBC" w:rsidRDefault="00203A09" w:rsidP="00985EBC">
      <w:pPr>
        <w:pStyle w:val="ListParagraph"/>
        <w:numPr>
          <w:ilvl w:val="0"/>
          <w:numId w:val="14"/>
        </w:numPr>
        <w:jc w:val="both"/>
        <w:rPr>
          <w:rFonts w:asciiTheme="majorHAnsi" w:hAnsiTheme="majorHAnsi" w:cs="Arial"/>
          <w:lang w:val="ro-RO"/>
        </w:rPr>
      </w:pPr>
      <w:r w:rsidRPr="00985EBC">
        <w:rPr>
          <w:rFonts w:asciiTheme="majorHAnsi" w:hAnsiTheme="majorHAnsi" w:cs="Arial"/>
          <w:lang w:val="ro-RO"/>
        </w:rPr>
        <w:t xml:space="preserve">asigurarea </w:t>
      </w:r>
      <w:r w:rsidR="00F52EB2" w:rsidRPr="00985EBC">
        <w:rPr>
          <w:rFonts w:asciiTheme="majorHAnsi" w:hAnsiTheme="majorHAnsi" w:cs="Arial"/>
          <w:lang w:val="ro-RO"/>
        </w:rPr>
        <w:t>calităţii înalte şi uniforme a conţinutului rapoartelor;</w:t>
      </w:r>
    </w:p>
    <w:p w:rsidR="00F52EB2" w:rsidRPr="00985EBC" w:rsidRDefault="00203A09" w:rsidP="00985EBC">
      <w:pPr>
        <w:pStyle w:val="ListParagraph"/>
        <w:numPr>
          <w:ilvl w:val="0"/>
          <w:numId w:val="14"/>
        </w:numPr>
        <w:jc w:val="both"/>
        <w:rPr>
          <w:rFonts w:asciiTheme="majorHAnsi" w:hAnsiTheme="majorHAnsi" w:cs="Arial"/>
          <w:lang w:val="ro-RO"/>
        </w:rPr>
      </w:pPr>
      <w:r w:rsidRPr="00985EBC">
        <w:rPr>
          <w:rFonts w:asciiTheme="majorHAnsi" w:hAnsiTheme="majorHAnsi" w:cs="Arial"/>
          <w:lang w:val="ro-RO"/>
        </w:rPr>
        <w:t xml:space="preserve">monitorizarea </w:t>
      </w:r>
      <w:r w:rsidR="00F52EB2" w:rsidRPr="00985EBC">
        <w:rPr>
          <w:rFonts w:asciiTheme="majorHAnsi" w:hAnsiTheme="majorHAnsi" w:cs="Arial"/>
          <w:lang w:val="ro-RO"/>
        </w:rPr>
        <w:t>de către responsabilul de redactare/aprobare a rapoartelor a volumului de lucru a tuturor experţilor, a obiecţiilor şi eficienţei acestora;</w:t>
      </w:r>
    </w:p>
    <w:p w:rsidR="00F52EB2" w:rsidRPr="00985EBC" w:rsidRDefault="00203A09" w:rsidP="00985EBC">
      <w:pPr>
        <w:pStyle w:val="ListParagraph"/>
        <w:numPr>
          <w:ilvl w:val="0"/>
          <w:numId w:val="14"/>
        </w:numPr>
        <w:jc w:val="both"/>
        <w:rPr>
          <w:rFonts w:asciiTheme="majorHAnsi" w:hAnsiTheme="majorHAnsi" w:cs="Arial"/>
          <w:lang w:val="ro-RO"/>
        </w:rPr>
      </w:pPr>
      <w:r w:rsidRPr="00985EBC">
        <w:rPr>
          <w:rFonts w:asciiTheme="majorHAnsi" w:hAnsiTheme="majorHAnsi" w:cs="Arial"/>
          <w:lang w:val="ro-RO"/>
        </w:rPr>
        <w:t xml:space="preserve">postarea </w:t>
      </w:r>
      <w:r w:rsidR="00F52EB2" w:rsidRPr="00985EBC">
        <w:rPr>
          <w:rFonts w:asciiTheme="majorHAnsi" w:hAnsiTheme="majorHAnsi" w:cs="Arial"/>
          <w:lang w:val="ro-RO"/>
        </w:rPr>
        <w:t>automată pe web site a rapoartelor de expertiză a legislaţiei, chiar din ziua aprobării lor de către administrator;</w:t>
      </w:r>
    </w:p>
    <w:p w:rsidR="00F52EB2" w:rsidRPr="00985EBC" w:rsidRDefault="00203A09" w:rsidP="00985EBC">
      <w:pPr>
        <w:pStyle w:val="ListParagraph"/>
        <w:numPr>
          <w:ilvl w:val="0"/>
          <w:numId w:val="14"/>
        </w:numPr>
        <w:jc w:val="both"/>
        <w:rPr>
          <w:rFonts w:asciiTheme="majorHAnsi" w:hAnsiTheme="majorHAnsi" w:cs="Arial"/>
          <w:lang w:val="ro-RO"/>
        </w:rPr>
      </w:pPr>
      <w:r w:rsidRPr="00985EBC">
        <w:rPr>
          <w:rFonts w:asciiTheme="majorHAnsi" w:hAnsiTheme="majorHAnsi" w:cs="Arial"/>
          <w:lang w:val="ro-RO"/>
        </w:rPr>
        <w:t xml:space="preserve">posibilitatea </w:t>
      </w:r>
      <w:r w:rsidR="00F52EB2" w:rsidRPr="00985EBC">
        <w:rPr>
          <w:rFonts w:asciiTheme="majorHAnsi" w:hAnsiTheme="majorHAnsi" w:cs="Arial"/>
          <w:lang w:val="ro-RO"/>
        </w:rPr>
        <w:t>perfecţionării (revizu</w:t>
      </w:r>
      <w:r w:rsidR="00E94DC7">
        <w:rPr>
          <w:rFonts w:asciiTheme="majorHAnsi" w:hAnsiTheme="majorHAnsi" w:cs="Arial"/>
          <w:lang w:val="ro-RO"/>
        </w:rPr>
        <w:t>i</w:t>
      </w:r>
      <w:r w:rsidR="00F52EB2" w:rsidRPr="00985EBC">
        <w:rPr>
          <w:rFonts w:asciiTheme="majorHAnsi" w:hAnsiTheme="majorHAnsi" w:cs="Arial"/>
          <w:lang w:val="ro-RO"/>
        </w:rPr>
        <w:t>rii)  template-ului electronic în conformitatea cu evoluţia standardelor în domeniul drepturilor omului şi egalităţii gender.</w:t>
      </w:r>
    </w:p>
    <w:p w:rsidR="00DE6E43" w:rsidRPr="00985EBC" w:rsidRDefault="00DE6E43" w:rsidP="00DE6E43">
      <w:pPr>
        <w:rPr>
          <w:rFonts w:ascii="Arial Narrow" w:hAnsi="Arial Narrow"/>
          <w:sz w:val="20"/>
          <w:szCs w:val="20"/>
          <w:lang w:val="ro-RO"/>
        </w:rPr>
      </w:pPr>
    </w:p>
    <w:p w:rsidR="00DE6E43" w:rsidRPr="00985EBC" w:rsidRDefault="00DE6E43" w:rsidP="00DE6E43">
      <w:pPr>
        <w:rPr>
          <w:rFonts w:asciiTheme="majorHAnsi" w:eastAsia="Times New Roman" w:hAnsiTheme="majorHAnsi" w:cs="Arial"/>
          <w:sz w:val="24"/>
          <w:szCs w:val="24"/>
          <w:lang w:val="ro-RO" w:eastAsia="sv-SE"/>
        </w:rPr>
      </w:pPr>
      <w:r w:rsidRPr="00985EBC">
        <w:rPr>
          <w:rFonts w:asciiTheme="majorHAnsi" w:eastAsia="Times New Roman" w:hAnsiTheme="majorHAnsi" w:cs="Arial"/>
          <w:sz w:val="24"/>
          <w:szCs w:val="24"/>
          <w:lang w:val="ro-RO" w:eastAsia="sv-SE"/>
        </w:rPr>
        <w:t>Template-ul este plasat în sistemul  informaţional intern al CAPC.  Atît în template-ul propriu-zis, cît şi pe raportale de expertiză a CAPC, care vor fi proiectate pe site apare logo-ul organizaţiei finanţatoare.</w:t>
      </w:r>
    </w:p>
    <w:p w:rsidR="00DE6E43" w:rsidRPr="00985EBC" w:rsidRDefault="00DE6E43" w:rsidP="00DE6E43">
      <w:pPr>
        <w:rPr>
          <w:rFonts w:ascii="Arial Narrow" w:hAnsi="Arial Narrow"/>
          <w:sz w:val="20"/>
          <w:szCs w:val="20"/>
          <w:lang w:val="ro-RO"/>
        </w:rPr>
      </w:pPr>
    </w:p>
    <w:p w:rsidR="00DE6E43" w:rsidRPr="00985EBC" w:rsidRDefault="00DE6E43" w:rsidP="00DE6E43">
      <w:pPr>
        <w:rPr>
          <w:rFonts w:asciiTheme="majorHAnsi" w:eastAsia="Times New Roman" w:hAnsiTheme="majorHAnsi" w:cs="Arial"/>
          <w:sz w:val="24"/>
          <w:szCs w:val="24"/>
          <w:lang w:val="ro-RO" w:eastAsia="sv-SE"/>
        </w:rPr>
      </w:pPr>
      <w:r w:rsidRPr="00985EBC">
        <w:rPr>
          <w:rFonts w:asciiTheme="majorHAnsi" w:eastAsia="Times New Roman" w:hAnsiTheme="majorHAnsi" w:cs="Arial"/>
          <w:sz w:val="24"/>
          <w:szCs w:val="24"/>
          <w:lang w:val="ro-RO" w:eastAsia="sv-SE"/>
        </w:rPr>
        <w:t>E-template are două niveluri de acces:</w:t>
      </w:r>
    </w:p>
    <w:p w:rsidR="00DE6E43" w:rsidRPr="00985EBC" w:rsidRDefault="00DE6E43" w:rsidP="00DE6E43">
      <w:pPr>
        <w:rPr>
          <w:rFonts w:ascii="Arial Narrow" w:hAnsi="Arial Narrow"/>
          <w:sz w:val="20"/>
          <w:szCs w:val="20"/>
          <w:lang w:val="ro-RO"/>
        </w:rPr>
      </w:pPr>
    </w:p>
    <w:p w:rsidR="00DE6E43" w:rsidRPr="00985EBC" w:rsidRDefault="00DE6E43" w:rsidP="00DE6E43">
      <w:pPr>
        <w:rPr>
          <w:rFonts w:asciiTheme="majorHAnsi" w:hAnsiTheme="majorHAnsi"/>
          <w:i/>
          <w:sz w:val="24"/>
          <w:szCs w:val="24"/>
          <w:lang w:val="ro-RO"/>
        </w:rPr>
      </w:pPr>
      <w:r w:rsidRPr="00985EBC">
        <w:rPr>
          <w:rFonts w:asciiTheme="majorHAnsi" w:hAnsiTheme="majorHAnsi"/>
          <w:i/>
          <w:sz w:val="24"/>
          <w:szCs w:val="24"/>
          <w:lang w:val="ro-RO"/>
        </w:rPr>
        <w:t>a) Nivelul de acces de administrator</w:t>
      </w:r>
    </w:p>
    <w:p w:rsidR="00DE6E43" w:rsidRPr="00985EBC" w:rsidRDefault="00DE6E43" w:rsidP="00DE6E43">
      <w:pPr>
        <w:rPr>
          <w:rFonts w:asciiTheme="majorHAnsi" w:hAnsiTheme="majorHAnsi"/>
          <w:sz w:val="24"/>
          <w:szCs w:val="24"/>
          <w:lang w:val="ro-RO"/>
        </w:rPr>
      </w:pPr>
    </w:p>
    <w:p w:rsidR="00DE6E43" w:rsidRPr="00985EBC" w:rsidRDefault="00DE6E43" w:rsidP="00DE6E43">
      <w:pPr>
        <w:rPr>
          <w:rFonts w:asciiTheme="majorHAnsi" w:hAnsiTheme="majorHAnsi"/>
          <w:sz w:val="24"/>
          <w:szCs w:val="24"/>
          <w:lang w:val="ro-RO"/>
        </w:rPr>
      </w:pPr>
      <w:r w:rsidRPr="00985EBC">
        <w:rPr>
          <w:rFonts w:asciiTheme="majorHAnsi" w:hAnsiTheme="majorHAnsi"/>
          <w:sz w:val="24"/>
          <w:szCs w:val="24"/>
          <w:lang w:val="ro-RO"/>
        </w:rPr>
        <w:t>Nivelul de acces al administratorului permite: administrarea proiectelor de legi; administrarea rapoartelor de expertiză; vizualizarea statisticii; administrarea utilizatorilor (experţilor); administrarea recomandărilor formulate; administrarea autorilor nemijlociţi; administrarea finanţatorilor.</w:t>
      </w:r>
    </w:p>
    <w:p w:rsidR="00DE6E43" w:rsidRPr="00985EBC" w:rsidRDefault="00DE6E43" w:rsidP="00DE6E43">
      <w:pPr>
        <w:pStyle w:val="1"/>
        <w:rPr>
          <w:rFonts w:asciiTheme="majorHAnsi" w:eastAsiaTheme="minorHAnsi" w:hAnsiTheme="majorHAnsi" w:cstheme="minorBidi"/>
          <w:sz w:val="24"/>
          <w:szCs w:val="24"/>
          <w:lang w:val="ro-RO" w:eastAsia="en-US"/>
        </w:rPr>
      </w:pPr>
    </w:p>
    <w:p w:rsidR="00DE6E43" w:rsidRPr="00985EBC" w:rsidRDefault="00DE6E43" w:rsidP="0020233D">
      <w:pPr>
        <w:pStyle w:val="1"/>
        <w:jc w:val="both"/>
        <w:rPr>
          <w:rFonts w:asciiTheme="majorHAnsi" w:eastAsiaTheme="minorHAnsi" w:hAnsiTheme="majorHAnsi" w:cstheme="minorBidi"/>
          <w:sz w:val="24"/>
          <w:szCs w:val="24"/>
          <w:lang w:val="ro-RO" w:eastAsia="en-US"/>
        </w:rPr>
      </w:pPr>
      <w:r w:rsidRPr="00985EBC">
        <w:rPr>
          <w:rFonts w:asciiTheme="majorHAnsi" w:eastAsiaTheme="minorHAnsi" w:hAnsiTheme="majorHAnsi" w:cstheme="minorBidi"/>
          <w:sz w:val="24"/>
          <w:szCs w:val="24"/>
          <w:lang w:val="ro-RO" w:eastAsia="en-US"/>
        </w:rPr>
        <w:t>Sistemul generează date statistice referitoare la:</w:t>
      </w:r>
      <w:r w:rsidR="0020233D" w:rsidRPr="00985EBC">
        <w:rPr>
          <w:rFonts w:asciiTheme="majorHAnsi" w:eastAsiaTheme="minorHAnsi" w:hAnsiTheme="majorHAnsi" w:cstheme="minorBidi"/>
          <w:sz w:val="24"/>
          <w:szCs w:val="24"/>
          <w:lang w:val="ro-RO" w:eastAsia="en-US"/>
        </w:rPr>
        <w:t xml:space="preserve"> s</w:t>
      </w:r>
      <w:r w:rsidRPr="00985EBC">
        <w:rPr>
          <w:rFonts w:asciiTheme="majorHAnsi" w:eastAsiaTheme="minorHAnsi" w:hAnsiTheme="majorHAnsi" w:cstheme="minorBidi"/>
          <w:sz w:val="24"/>
          <w:szCs w:val="24"/>
          <w:lang w:val="ro-RO" w:eastAsia="en-US"/>
        </w:rPr>
        <w:t>tatutul proiectelor expertizate;</w:t>
      </w:r>
      <w:r w:rsidR="0020233D" w:rsidRPr="00985EBC">
        <w:rPr>
          <w:rFonts w:asciiTheme="majorHAnsi" w:eastAsiaTheme="minorHAnsi" w:hAnsiTheme="majorHAnsi" w:cstheme="minorBidi"/>
          <w:sz w:val="24"/>
          <w:szCs w:val="24"/>
          <w:lang w:val="ro-RO" w:eastAsia="en-US"/>
        </w:rPr>
        <w:t xml:space="preserve">  v</w:t>
      </w:r>
      <w:r w:rsidRPr="00985EBC">
        <w:rPr>
          <w:rFonts w:asciiTheme="majorHAnsi" w:eastAsiaTheme="minorHAnsi" w:hAnsiTheme="majorHAnsi" w:cstheme="minorBidi"/>
          <w:sz w:val="24"/>
          <w:szCs w:val="24"/>
          <w:lang w:val="ro-RO" w:eastAsia="en-US"/>
        </w:rPr>
        <w:t>olumul de lucru al fiecărui expert;</w:t>
      </w:r>
      <w:r w:rsidR="0020233D" w:rsidRPr="00985EBC">
        <w:rPr>
          <w:rFonts w:asciiTheme="majorHAnsi" w:eastAsiaTheme="minorHAnsi" w:hAnsiTheme="majorHAnsi" w:cstheme="minorBidi"/>
          <w:sz w:val="24"/>
          <w:szCs w:val="24"/>
          <w:lang w:val="ro-RO" w:eastAsia="en-US"/>
        </w:rPr>
        <w:t xml:space="preserve"> a</w:t>
      </w:r>
      <w:r w:rsidRPr="00985EBC">
        <w:rPr>
          <w:rFonts w:asciiTheme="majorHAnsi" w:eastAsiaTheme="minorHAnsi" w:hAnsiTheme="majorHAnsi" w:cstheme="minorBidi"/>
          <w:sz w:val="24"/>
          <w:szCs w:val="24"/>
          <w:lang w:val="ro-RO" w:eastAsia="en-US"/>
        </w:rPr>
        <w:t>utorii iniţiativelor legislative;</w:t>
      </w:r>
      <w:r w:rsidR="0020233D" w:rsidRPr="00985EBC">
        <w:rPr>
          <w:rFonts w:asciiTheme="majorHAnsi" w:eastAsiaTheme="minorHAnsi" w:hAnsiTheme="majorHAnsi" w:cstheme="minorBidi"/>
          <w:sz w:val="24"/>
          <w:szCs w:val="24"/>
          <w:lang w:val="ro-RO" w:eastAsia="en-US"/>
        </w:rPr>
        <w:t xml:space="preserve"> a</w:t>
      </w:r>
      <w:r w:rsidRPr="00985EBC">
        <w:rPr>
          <w:rFonts w:asciiTheme="majorHAnsi" w:eastAsiaTheme="minorHAnsi" w:hAnsiTheme="majorHAnsi" w:cstheme="minorBidi"/>
          <w:sz w:val="24"/>
          <w:szCs w:val="24"/>
          <w:lang w:val="ro-RO" w:eastAsia="en-US"/>
        </w:rPr>
        <w:t>utorii nemijlociţi ai tuturor proiectelor supuse expertizei;</w:t>
      </w:r>
      <w:r w:rsidR="0020233D" w:rsidRPr="00985EBC">
        <w:rPr>
          <w:rFonts w:asciiTheme="majorHAnsi" w:eastAsiaTheme="minorHAnsi" w:hAnsiTheme="majorHAnsi" w:cstheme="minorBidi"/>
          <w:sz w:val="24"/>
          <w:szCs w:val="24"/>
          <w:lang w:val="ro-RO" w:eastAsia="en-US"/>
        </w:rPr>
        <w:t xml:space="preserve"> g</w:t>
      </w:r>
      <w:r w:rsidRPr="00985EBC">
        <w:rPr>
          <w:rFonts w:asciiTheme="majorHAnsi" w:eastAsiaTheme="minorHAnsi" w:hAnsiTheme="majorHAnsi" w:cstheme="minorBidi"/>
          <w:sz w:val="24"/>
          <w:szCs w:val="24"/>
          <w:lang w:val="ro-RO" w:eastAsia="en-US"/>
        </w:rPr>
        <w:t xml:space="preserve">radul de argumentare </w:t>
      </w:r>
      <w:r w:rsidR="0020233D" w:rsidRPr="00985EBC">
        <w:rPr>
          <w:rFonts w:asciiTheme="majorHAnsi" w:eastAsiaTheme="minorHAnsi" w:hAnsiTheme="majorHAnsi" w:cstheme="minorBidi"/>
          <w:sz w:val="24"/>
          <w:szCs w:val="24"/>
          <w:lang w:val="ro-RO" w:eastAsia="en-US"/>
        </w:rPr>
        <w:t>a proiectelor supuse expertizei; r</w:t>
      </w:r>
      <w:r w:rsidRPr="00985EBC">
        <w:rPr>
          <w:rFonts w:asciiTheme="majorHAnsi" w:eastAsiaTheme="minorHAnsi" w:hAnsiTheme="majorHAnsi" w:cstheme="minorBidi"/>
          <w:sz w:val="24"/>
          <w:szCs w:val="24"/>
          <w:lang w:val="ro-RO" w:eastAsia="en-US"/>
        </w:rPr>
        <w:t>espectarea principii</w:t>
      </w:r>
      <w:r w:rsidR="0020233D" w:rsidRPr="00985EBC">
        <w:rPr>
          <w:rFonts w:asciiTheme="majorHAnsi" w:eastAsiaTheme="minorHAnsi" w:hAnsiTheme="majorHAnsi" w:cstheme="minorBidi"/>
          <w:sz w:val="24"/>
          <w:szCs w:val="24"/>
          <w:lang w:val="ro-RO" w:eastAsia="en-US"/>
        </w:rPr>
        <w:t>lor</w:t>
      </w:r>
      <w:r w:rsidRPr="00985EBC">
        <w:rPr>
          <w:rFonts w:asciiTheme="majorHAnsi" w:eastAsiaTheme="minorHAnsi" w:hAnsiTheme="majorHAnsi" w:cstheme="minorBidi"/>
          <w:sz w:val="24"/>
          <w:szCs w:val="24"/>
          <w:lang w:val="ro-RO" w:eastAsia="en-US"/>
        </w:rPr>
        <w:t xml:space="preserve"> transparenţei</w:t>
      </w:r>
      <w:r w:rsidR="0020233D" w:rsidRPr="00985EBC">
        <w:rPr>
          <w:rFonts w:asciiTheme="majorHAnsi" w:eastAsiaTheme="minorHAnsi" w:hAnsiTheme="majorHAnsi" w:cstheme="minorBidi"/>
          <w:sz w:val="24"/>
          <w:szCs w:val="24"/>
          <w:lang w:val="ro-RO" w:eastAsia="en-US"/>
        </w:rPr>
        <w:t xml:space="preserve">, </w:t>
      </w:r>
      <w:r w:rsidRPr="00985EBC">
        <w:rPr>
          <w:rFonts w:asciiTheme="majorHAnsi" w:eastAsiaTheme="minorHAnsi" w:hAnsiTheme="majorHAnsi" w:cstheme="minorBidi"/>
          <w:sz w:val="24"/>
          <w:szCs w:val="24"/>
          <w:lang w:val="ro-RO" w:eastAsia="en-US"/>
        </w:rPr>
        <w:t>participării</w:t>
      </w:r>
      <w:r w:rsidR="0020233D" w:rsidRPr="00985EBC">
        <w:rPr>
          <w:rFonts w:asciiTheme="majorHAnsi" w:eastAsiaTheme="minorHAnsi" w:hAnsiTheme="majorHAnsi" w:cstheme="minorBidi"/>
          <w:sz w:val="24"/>
          <w:szCs w:val="24"/>
          <w:lang w:val="ro-RO" w:eastAsia="en-US"/>
        </w:rPr>
        <w:t xml:space="preserve">, </w:t>
      </w:r>
      <w:r w:rsidRPr="00985EBC">
        <w:rPr>
          <w:rFonts w:asciiTheme="majorHAnsi" w:eastAsiaTheme="minorHAnsi" w:hAnsiTheme="majorHAnsi" w:cstheme="minorBidi"/>
          <w:sz w:val="24"/>
          <w:szCs w:val="24"/>
          <w:lang w:val="ro-RO" w:eastAsia="en-US"/>
        </w:rPr>
        <w:t xml:space="preserve"> responsabilizării;</w:t>
      </w:r>
      <w:r w:rsidR="0020233D" w:rsidRPr="00985EBC">
        <w:rPr>
          <w:rFonts w:asciiTheme="majorHAnsi" w:eastAsiaTheme="minorHAnsi" w:hAnsiTheme="majorHAnsi" w:cstheme="minorBidi"/>
          <w:sz w:val="24"/>
          <w:szCs w:val="24"/>
          <w:lang w:val="ro-RO" w:eastAsia="en-US"/>
        </w:rPr>
        <w:t xml:space="preserve"> d</w:t>
      </w:r>
      <w:r w:rsidRPr="00985EBC">
        <w:rPr>
          <w:rFonts w:asciiTheme="majorHAnsi" w:eastAsiaTheme="minorHAnsi" w:hAnsiTheme="majorHAnsi" w:cstheme="minorBidi"/>
          <w:sz w:val="24"/>
          <w:szCs w:val="24"/>
          <w:lang w:val="ro-RO" w:eastAsia="en-US"/>
        </w:rPr>
        <w:t>repturile şi libertăţile individuale;</w:t>
      </w:r>
      <w:r w:rsidR="0020233D" w:rsidRPr="00985EBC">
        <w:rPr>
          <w:rFonts w:asciiTheme="majorHAnsi" w:eastAsiaTheme="minorHAnsi" w:hAnsiTheme="majorHAnsi" w:cstheme="minorBidi"/>
          <w:sz w:val="24"/>
          <w:szCs w:val="24"/>
          <w:lang w:val="ro-RO" w:eastAsia="en-US"/>
        </w:rPr>
        <w:t xml:space="preserve"> d</w:t>
      </w:r>
      <w:r w:rsidRPr="00985EBC">
        <w:rPr>
          <w:rFonts w:asciiTheme="majorHAnsi" w:eastAsiaTheme="minorHAnsi" w:hAnsiTheme="majorHAnsi" w:cstheme="minorBidi"/>
          <w:sz w:val="24"/>
          <w:szCs w:val="24"/>
          <w:lang w:val="ro-RO" w:eastAsia="en-US"/>
        </w:rPr>
        <w:t>repturile şi libertăţile social-economice;</w:t>
      </w:r>
      <w:r w:rsidR="0020233D" w:rsidRPr="00985EBC">
        <w:rPr>
          <w:rFonts w:asciiTheme="majorHAnsi" w:eastAsiaTheme="minorHAnsi" w:hAnsiTheme="majorHAnsi" w:cstheme="minorBidi"/>
          <w:sz w:val="24"/>
          <w:szCs w:val="24"/>
          <w:lang w:val="ro-RO" w:eastAsia="en-US"/>
        </w:rPr>
        <w:t xml:space="preserve"> d</w:t>
      </w:r>
      <w:r w:rsidRPr="00985EBC">
        <w:rPr>
          <w:rFonts w:asciiTheme="majorHAnsi" w:eastAsiaTheme="minorHAnsi" w:hAnsiTheme="majorHAnsi" w:cstheme="minorBidi"/>
          <w:sz w:val="24"/>
          <w:szCs w:val="24"/>
          <w:lang w:val="ro-RO" w:eastAsia="en-US"/>
        </w:rPr>
        <w:t>repturile şi libertăţile social-politice;</w:t>
      </w:r>
      <w:r w:rsidR="0020233D" w:rsidRPr="00985EBC">
        <w:rPr>
          <w:rFonts w:asciiTheme="majorHAnsi" w:eastAsiaTheme="minorHAnsi" w:hAnsiTheme="majorHAnsi" w:cstheme="minorBidi"/>
          <w:sz w:val="24"/>
          <w:szCs w:val="24"/>
          <w:lang w:val="ro-RO" w:eastAsia="en-US"/>
        </w:rPr>
        <w:t xml:space="preserve"> d</w:t>
      </w:r>
      <w:r w:rsidRPr="00985EBC">
        <w:rPr>
          <w:rFonts w:asciiTheme="majorHAnsi" w:eastAsiaTheme="minorHAnsi" w:hAnsiTheme="majorHAnsi" w:cstheme="minorBidi"/>
          <w:sz w:val="24"/>
          <w:szCs w:val="24"/>
          <w:lang w:val="ro-RO" w:eastAsia="en-US"/>
        </w:rPr>
        <w:t>repturile şi libertăţile culturale;</w:t>
      </w:r>
      <w:r w:rsidR="0020233D" w:rsidRPr="00985EBC">
        <w:rPr>
          <w:rFonts w:asciiTheme="majorHAnsi" w:eastAsiaTheme="minorHAnsi" w:hAnsiTheme="majorHAnsi" w:cstheme="minorBidi"/>
          <w:sz w:val="24"/>
          <w:szCs w:val="24"/>
          <w:lang w:val="ro-RO" w:eastAsia="en-US"/>
        </w:rPr>
        <w:t xml:space="preserve"> n</w:t>
      </w:r>
      <w:r w:rsidRPr="00985EBC">
        <w:rPr>
          <w:rFonts w:asciiTheme="majorHAnsi" w:eastAsiaTheme="minorHAnsi" w:hAnsiTheme="majorHAnsi" w:cstheme="minorBidi"/>
          <w:sz w:val="24"/>
          <w:szCs w:val="24"/>
          <w:lang w:val="ro-RO" w:eastAsia="en-US"/>
        </w:rPr>
        <w:t>ivelul de corespundere a proie</w:t>
      </w:r>
      <w:r w:rsidR="0020233D" w:rsidRPr="00985EBC">
        <w:rPr>
          <w:rFonts w:asciiTheme="majorHAnsi" w:eastAsiaTheme="minorHAnsi" w:hAnsiTheme="majorHAnsi" w:cstheme="minorBidi"/>
          <w:sz w:val="24"/>
          <w:szCs w:val="24"/>
          <w:lang w:val="ro-RO" w:eastAsia="en-US"/>
        </w:rPr>
        <w:t xml:space="preserve">ctului normelor constituţionale, </w:t>
      </w:r>
      <w:r w:rsidRPr="00985EBC">
        <w:rPr>
          <w:rFonts w:asciiTheme="majorHAnsi" w:eastAsiaTheme="minorHAnsi" w:hAnsiTheme="majorHAnsi" w:cstheme="minorBidi"/>
          <w:sz w:val="24"/>
          <w:szCs w:val="24"/>
          <w:lang w:val="ro-RO" w:eastAsia="en-US"/>
        </w:rPr>
        <w:t xml:space="preserve"> legislaţiei corelative</w:t>
      </w:r>
      <w:r w:rsidR="0020233D" w:rsidRPr="00985EBC">
        <w:rPr>
          <w:rFonts w:asciiTheme="majorHAnsi" w:eastAsiaTheme="minorHAnsi" w:hAnsiTheme="majorHAnsi" w:cstheme="minorBidi"/>
          <w:sz w:val="24"/>
          <w:szCs w:val="24"/>
          <w:lang w:val="ro-RO" w:eastAsia="en-US"/>
        </w:rPr>
        <w:t xml:space="preserve">, </w:t>
      </w:r>
      <w:r w:rsidRPr="00985EBC">
        <w:rPr>
          <w:rFonts w:asciiTheme="majorHAnsi" w:eastAsiaTheme="minorHAnsi" w:hAnsiTheme="majorHAnsi" w:cstheme="minorBidi"/>
          <w:sz w:val="24"/>
          <w:szCs w:val="24"/>
          <w:lang w:val="ro-RO" w:eastAsia="en-US"/>
        </w:rPr>
        <w:t>jurisprudenţei Curţii Constituţionale şi CEDO;</w:t>
      </w:r>
      <w:r w:rsidR="0020233D" w:rsidRPr="00985EBC">
        <w:rPr>
          <w:rFonts w:asciiTheme="majorHAnsi" w:eastAsiaTheme="minorHAnsi" w:hAnsiTheme="majorHAnsi" w:cstheme="minorBidi"/>
          <w:sz w:val="24"/>
          <w:szCs w:val="24"/>
          <w:lang w:val="ro-RO" w:eastAsia="en-US"/>
        </w:rPr>
        <w:t xml:space="preserve"> i</w:t>
      </w:r>
      <w:r w:rsidRPr="00985EBC">
        <w:rPr>
          <w:rFonts w:asciiTheme="majorHAnsi" w:eastAsiaTheme="minorHAnsi" w:hAnsiTheme="majorHAnsi" w:cstheme="minorBidi"/>
          <w:sz w:val="24"/>
          <w:szCs w:val="24"/>
          <w:lang w:val="ro-RO" w:eastAsia="en-US"/>
        </w:rPr>
        <w:t>mpactul proiectului</w:t>
      </w:r>
      <w:r w:rsidR="0020233D" w:rsidRPr="00985EBC">
        <w:rPr>
          <w:rFonts w:asciiTheme="majorHAnsi" w:eastAsiaTheme="minorHAnsi" w:hAnsiTheme="majorHAnsi" w:cstheme="minorBidi"/>
          <w:sz w:val="24"/>
          <w:szCs w:val="24"/>
          <w:lang w:val="ro-RO" w:eastAsia="en-US"/>
        </w:rPr>
        <w:t xml:space="preserve"> prin prisma drepturilor omului şi </w:t>
      </w:r>
      <w:r w:rsidRPr="00985EBC">
        <w:rPr>
          <w:rFonts w:asciiTheme="majorHAnsi" w:eastAsiaTheme="minorHAnsi" w:hAnsiTheme="majorHAnsi" w:cstheme="minorBidi"/>
          <w:sz w:val="24"/>
          <w:szCs w:val="24"/>
          <w:lang w:val="ro-RO" w:eastAsia="en-US"/>
        </w:rPr>
        <w:t>prin prisma gender.</w:t>
      </w:r>
    </w:p>
    <w:p w:rsidR="00DE6E43" w:rsidRPr="00985EBC" w:rsidRDefault="00DE6E43" w:rsidP="00DE6E43">
      <w:pPr>
        <w:pStyle w:val="1"/>
        <w:rPr>
          <w:rFonts w:asciiTheme="majorHAnsi" w:eastAsiaTheme="minorHAnsi" w:hAnsiTheme="majorHAnsi" w:cstheme="minorBidi"/>
          <w:sz w:val="24"/>
          <w:szCs w:val="24"/>
          <w:lang w:val="ro-RO" w:eastAsia="en-US"/>
        </w:rPr>
      </w:pPr>
    </w:p>
    <w:p w:rsidR="00DE6E43" w:rsidRPr="00985EBC" w:rsidRDefault="00DE6E43" w:rsidP="0020233D">
      <w:pPr>
        <w:pStyle w:val="1"/>
        <w:jc w:val="both"/>
        <w:rPr>
          <w:rFonts w:asciiTheme="majorHAnsi" w:eastAsiaTheme="minorHAnsi" w:hAnsiTheme="majorHAnsi" w:cstheme="minorBidi"/>
          <w:sz w:val="24"/>
          <w:szCs w:val="24"/>
          <w:lang w:val="ro-RO" w:eastAsia="en-US"/>
        </w:rPr>
      </w:pPr>
      <w:r w:rsidRPr="00985EBC">
        <w:rPr>
          <w:rFonts w:asciiTheme="majorHAnsi" w:eastAsiaTheme="minorHAnsi" w:hAnsiTheme="majorHAnsi" w:cstheme="minorBidi"/>
          <w:sz w:val="24"/>
          <w:szCs w:val="24"/>
          <w:lang w:val="ro-RO" w:eastAsia="en-US"/>
        </w:rPr>
        <w:t>Toate datele statistice pot fi sortate după următoarele criterii:</w:t>
      </w:r>
      <w:r w:rsidR="0020233D" w:rsidRPr="00985EBC">
        <w:rPr>
          <w:rFonts w:asciiTheme="majorHAnsi" w:eastAsiaTheme="minorHAnsi" w:hAnsiTheme="majorHAnsi" w:cstheme="minorBidi"/>
          <w:sz w:val="24"/>
          <w:szCs w:val="24"/>
          <w:lang w:val="ro-RO" w:eastAsia="en-US"/>
        </w:rPr>
        <w:t xml:space="preserve"> </w:t>
      </w:r>
      <w:r w:rsidRPr="00985EBC">
        <w:rPr>
          <w:rFonts w:asciiTheme="majorHAnsi" w:eastAsiaTheme="minorHAnsi" w:hAnsiTheme="majorHAnsi" w:cstheme="minorBidi"/>
          <w:sz w:val="24"/>
          <w:szCs w:val="24"/>
          <w:lang w:val="ro-RO" w:eastAsia="en-US"/>
        </w:rPr>
        <w:t>perioade de timp;</w:t>
      </w:r>
      <w:r w:rsidR="0020233D" w:rsidRPr="00985EBC">
        <w:rPr>
          <w:rFonts w:asciiTheme="majorHAnsi" w:eastAsiaTheme="minorHAnsi" w:hAnsiTheme="majorHAnsi" w:cstheme="minorBidi"/>
          <w:sz w:val="24"/>
          <w:szCs w:val="24"/>
          <w:lang w:val="ro-RO" w:eastAsia="en-US"/>
        </w:rPr>
        <w:t xml:space="preserve"> </w:t>
      </w:r>
      <w:r w:rsidRPr="00985EBC">
        <w:rPr>
          <w:rFonts w:asciiTheme="majorHAnsi" w:eastAsiaTheme="minorHAnsi" w:hAnsiTheme="majorHAnsi" w:cstheme="minorBidi"/>
          <w:sz w:val="24"/>
          <w:szCs w:val="24"/>
          <w:lang w:val="ro-RO" w:eastAsia="en-US"/>
        </w:rPr>
        <w:t>experţii care au întocmit rapoartele de expertiză;</w:t>
      </w:r>
      <w:r w:rsidR="0020233D" w:rsidRPr="00985EBC">
        <w:rPr>
          <w:rFonts w:asciiTheme="majorHAnsi" w:eastAsiaTheme="minorHAnsi" w:hAnsiTheme="majorHAnsi" w:cstheme="minorBidi"/>
          <w:sz w:val="24"/>
          <w:szCs w:val="24"/>
          <w:lang w:val="ro-RO" w:eastAsia="en-US"/>
        </w:rPr>
        <w:t xml:space="preserve"> </w:t>
      </w:r>
      <w:r w:rsidRPr="00985EBC">
        <w:rPr>
          <w:rFonts w:asciiTheme="majorHAnsi" w:eastAsiaTheme="minorHAnsi" w:hAnsiTheme="majorHAnsi" w:cstheme="minorBidi"/>
          <w:sz w:val="24"/>
          <w:szCs w:val="24"/>
          <w:lang w:val="ro-RO" w:eastAsia="en-US"/>
        </w:rPr>
        <w:t>tipul şi statutul proiectelor de acte expertizate;</w:t>
      </w:r>
      <w:r w:rsidR="0020233D" w:rsidRPr="00985EBC">
        <w:rPr>
          <w:rFonts w:asciiTheme="majorHAnsi" w:eastAsiaTheme="minorHAnsi" w:hAnsiTheme="majorHAnsi" w:cstheme="minorBidi"/>
          <w:sz w:val="24"/>
          <w:szCs w:val="24"/>
          <w:lang w:val="ro-RO" w:eastAsia="en-US"/>
        </w:rPr>
        <w:t xml:space="preserve"> </w:t>
      </w:r>
      <w:r w:rsidRPr="00985EBC">
        <w:rPr>
          <w:rFonts w:asciiTheme="majorHAnsi" w:eastAsiaTheme="minorHAnsi" w:hAnsiTheme="majorHAnsi" w:cstheme="minorBidi"/>
          <w:sz w:val="24"/>
          <w:szCs w:val="24"/>
          <w:lang w:val="ro-RO" w:eastAsia="en-US"/>
        </w:rPr>
        <w:t xml:space="preserve">autorii proiectelor. </w:t>
      </w:r>
    </w:p>
    <w:p w:rsidR="00DE6E43" w:rsidRPr="00985EBC" w:rsidRDefault="00DE6E43" w:rsidP="00DE6E43">
      <w:pPr>
        <w:ind w:left="1080"/>
        <w:rPr>
          <w:rFonts w:ascii="Arial Narrow" w:hAnsi="Arial Narrow"/>
          <w:b/>
          <w:sz w:val="20"/>
          <w:szCs w:val="20"/>
          <w:lang w:val="ro-RO"/>
        </w:rPr>
      </w:pPr>
    </w:p>
    <w:p w:rsidR="00DE6E43" w:rsidRPr="00985EBC" w:rsidRDefault="00DE6E43" w:rsidP="00DE6E43">
      <w:pPr>
        <w:rPr>
          <w:rFonts w:asciiTheme="majorHAnsi" w:hAnsiTheme="majorHAnsi"/>
          <w:i/>
          <w:sz w:val="24"/>
          <w:szCs w:val="24"/>
          <w:lang w:val="ro-RO"/>
        </w:rPr>
      </w:pPr>
      <w:r w:rsidRPr="00985EBC">
        <w:rPr>
          <w:rFonts w:asciiTheme="majorHAnsi" w:hAnsiTheme="majorHAnsi"/>
          <w:i/>
          <w:sz w:val="24"/>
          <w:szCs w:val="24"/>
          <w:lang w:val="ro-RO"/>
        </w:rPr>
        <w:t>b) Nivelul de acces de expert</w:t>
      </w:r>
    </w:p>
    <w:p w:rsidR="00DE6E43" w:rsidRPr="00985EBC" w:rsidRDefault="00DE6E43" w:rsidP="00DE6E43">
      <w:pPr>
        <w:rPr>
          <w:rFonts w:asciiTheme="majorHAnsi" w:hAnsiTheme="majorHAnsi"/>
          <w:sz w:val="24"/>
          <w:szCs w:val="24"/>
          <w:lang w:val="ro-RO"/>
        </w:rPr>
      </w:pPr>
    </w:p>
    <w:p w:rsidR="00DE6E43" w:rsidRPr="00985EBC" w:rsidRDefault="00DE6E43" w:rsidP="00DE6E43">
      <w:pPr>
        <w:rPr>
          <w:rFonts w:asciiTheme="majorHAnsi" w:hAnsiTheme="majorHAnsi"/>
          <w:sz w:val="24"/>
          <w:szCs w:val="24"/>
          <w:lang w:val="ro-RO"/>
        </w:rPr>
      </w:pPr>
      <w:r w:rsidRPr="00985EBC">
        <w:rPr>
          <w:rFonts w:asciiTheme="majorHAnsi" w:hAnsiTheme="majorHAnsi"/>
          <w:sz w:val="24"/>
          <w:szCs w:val="24"/>
          <w:lang w:val="ro-RO"/>
        </w:rPr>
        <w:t xml:space="preserve">Pentru a accesa sistemul </w:t>
      </w:r>
      <w:r w:rsidRPr="00985EBC">
        <w:rPr>
          <w:rFonts w:asciiTheme="majorHAnsi" w:hAnsiTheme="majorHAnsi"/>
          <w:bCs/>
          <w:iCs/>
          <w:sz w:val="24"/>
          <w:szCs w:val="24"/>
          <w:lang w:val="ro-RO"/>
        </w:rPr>
        <w:t xml:space="preserve">e-template, expertul </w:t>
      </w:r>
      <w:r w:rsidRPr="00985EBC">
        <w:rPr>
          <w:rFonts w:asciiTheme="majorHAnsi" w:hAnsiTheme="majorHAnsi"/>
          <w:bCs/>
          <w:sz w:val="24"/>
          <w:szCs w:val="24"/>
          <w:lang w:val="ro-RO"/>
        </w:rPr>
        <w:t xml:space="preserve">introduce în browser adresa sistemului (de ex.: </w:t>
      </w:r>
      <w:hyperlink r:id="rId12" w:history="1">
        <w:r w:rsidRPr="00985EBC">
          <w:rPr>
            <w:rStyle w:val="Hyperlink"/>
            <w:rFonts w:asciiTheme="majorHAnsi" w:hAnsiTheme="majorHAnsi"/>
            <w:bCs/>
            <w:sz w:val="24"/>
            <w:szCs w:val="24"/>
            <w:lang w:val="ro-RO"/>
          </w:rPr>
          <w:t>http://gender.capc.md/</w:t>
        </w:r>
      </w:hyperlink>
      <w:r w:rsidRPr="00985EBC">
        <w:rPr>
          <w:rFonts w:asciiTheme="majorHAnsi" w:hAnsiTheme="majorHAnsi"/>
          <w:bCs/>
          <w:sz w:val="24"/>
          <w:szCs w:val="24"/>
          <w:lang w:val="ro-RO"/>
        </w:rPr>
        <w:t xml:space="preserve">). După ce va apare pagina de login, expertul introduce login-ul si parola sa. </w:t>
      </w:r>
      <w:r w:rsidRPr="00985EBC">
        <w:rPr>
          <w:rFonts w:asciiTheme="majorHAnsi" w:hAnsiTheme="majorHAnsi"/>
          <w:sz w:val="24"/>
          <w:szCs w:val="24"/>
          <w:lang w:val="ro-RO"/>
        </w:rPr>
        <w:t xml:space="preserve">Nivelul de acces al expertului permite gestionarea propriei activităţi pe marginea: proiectelor de legi; rapoartelor de expertiză. </w:t>
      </w:r>
    </w:p>
    <w:p w:rsidR="00203A09" w:rsidRPr="00985EBC" w:rsidRDefault="00203A09" w:rsidP="00F52EB2">
      <w:pPr>
        <w:rPr>
          <w:rFonts w:asciiTheme="majorHAnsi" w:hAnsiTheme="majorHAnsi"/>
          <w:color w:val="000000" w:themeColor="text1"/>
          <w:sz w:val="24"/>
          <w:szCs w:val="24"/>
          <w:lang w:val="ro-RO"/>
        </w:rPr>
      </w:pPr>
    </w:p>
    <w:p w:rsidR="00F52EB2" w:rsidRPr="00985EBC" w:rsidRDefault="00DE6E43" w:rsidP="00F52EB2">
      <w:pPr>
        <w:rPr>
          <w:rFonts w:asciiTheme="majorHAnsi" w:hAnsiTheme="majorHAnsi"/>
          <w:color w:val="000000" w:themeColor="text1"/>
          <w:sz w:val="24"/>
          <w:szCs w:val="24"/>
          <w:lang w:val="ro-RO"/>
        </w:rPr>
      </w:pPr>
      <w:r w:rsidRPr="00985EBC">
        <w:rPr>
          <w:rFonts w:asciiTheme="majorHAnsi" w:hAnsiTheme="majorHAnsi"/>
          <w:color w:val="000000" w:themeColor="text1"/>
          <w:sz w:val="24"/>
          <w:szCs w:val="24"/>
          <w:lang w:val="ro-RO"/>
        </w:rPr>
        <w:t>A</w:t>
      </w:r>
      <w:r w:rsidR="00F52EB2" w:rsidRPr="00985EBC">
        <w:rPr>
          <w:rFonts w:asciiTheme="majorHAnsi" w:hAnsiTheme="majorHAnsi"/>
          <w:color w:val="000000" w:themeColor="text1"/>
          <w:sz w:val="24"/>
          <w:szCs w:val="24"/>
          <w:lang w:val="ro-RO"/>
        </w:rPr>
        <w:t>lgoritmul efectuării expertizei a inclus 4 compartimente principale, pe care le conţin  toate Rapoartele de expertiză din perspectiva drepturilor omului şi egalităţii gender, elaborate de CAPC:</w:t>
      </w:r>
    </w:p>
    <w:p w:rsidR="00F52EB2" w:rsidRPr="00985EBC" w:rsidRDefault="00F52EB2" w:rsidP="00F52EB2">
      <w:pPr>
        <w:ind w:firstLine="1304"/>
        <w:rPr>
          <w:rFonts w:asciiTheme="majorHAnsi" w:hAnsiTheme="majorHAnsi"/>
          <w:color w:val="000000" w:themeColor="text1"/>
          <w:sz w:val="24"/>
          <w:szCs w:val="24"/>
          <w:lang w:val="ro-RO"/>
        </w:rPr>
      </w:pPr>
      <w:r w:rsidRPr="00985EBC">
        <w:rPr>
          <w:rFonts w:asciiTheme="majorHAnsi" w:hAnsiTheme="majorHAnsi"/>
          <w:color w:val="000000" w:themeColor="text1"/>
          <w:sz w:val="24"/>
          <w:szCs w:val="24"/>
          <w:lang w:val="ro-RO"/>
        </w:rPr>
        <w:t>A.Evaluarea generală</w:t>
      </w:r>
    </w:p>
    <w:p w:rsidR="00F52EB2" w:rsidRPr="00985EBC" w:rsidRDefault="00F52EB2" w:rsidP="00F52EB2">
      <w:pPr>
        <w:ind w:firstLine="1304"/>
        <w:rPr>
          <w:rFonts w:asciiTheme="majorHAnsi" w:hAnsiTheme="majorHAnsi"/>
          <w:color w:val="000000" w:themeColor="text1"/>
          <w:sz w:val="24"/>
          <w:szCs w:val="24"/>
          <w:lang w:val="ro-RO"/>
        </w:rPr>
      </w:pPr>
      <w:r w:rsidRPr="00985EBC">
        <w:rPr>
          <w:rFonts w:asciiTheme="majorHAnsi" w:hAnsiTheme="majorHAnsi"/>
          <w:color w:val="000000" w:themeColor="text1"/>
          <w:sz w:val="24"/>
          <w:szCs w:val="24"/>
          <w:lang w:val="ro-RO"/>
        </w:rPr>
        <w:t>B.Evaluarea de fond a proiectului de act normativ</w:t>
      </w:r>
    </w:p>
    <w:p w:rsidR="00F52EB2" w:rsidRPr="00985EBC" w:rsidRDefault="00F52EB2" w:rsidP="00F52EB2">
      <w:pPr>
        <w:ind w:firstLine="1304"/>
        <w:rPr>
          <w:rFonts w:asciiTheme="majorHAnsi" w:hAnsiTheme="majorHAnsi"/>
          <w:color w:val="000000" w:themeColor="text1"/>
          <w:sz w:val="24"/>
          <w:szCs w:val="24"/>
          <w:lang w:val="ro-RO"/>
        </w:rPr>
      </w:pPr>
      <w:r w:rsidRPr="00985EBC">
        <w:rPr>
          <w:rFonts w:asciiTheme="majorHAnsi" w:hAnsiTheme="majorHAnsi"/>
          <w:color w:val="000000" w:themeColor="text1"/>
          <w:sz w:val="24"/>
          <w:szCs w:val="24"/>
          <w:lang w:val="ro-RO"/>
        </w:rPr>
        <w:t>C.Analiza detaliată a textului proiectului</w:t>
      </w:r>
    </w:p>
    <w:p w:rsidR="00F52EB2" w:rsidRPr="00985EBC" w:rsidRDefault="00F52EB2" w:rsidP="00F52EB2">
      <w:pPr>
        <w:ind w:firstLine="1304"/>
        <w:rPr>
          <w:rFonts w:asciiTheme="majorHAnsi" w:hAnsiTheme="majorHAnsi"/>
          <w:color w:val="000000" w:themeColor="text1"/>
          <w:sz w:val="24"/>
          <w:szCs w:val="24"/>
          <w:lang w:val="ro-RO"/>
        </w:rPr>
      </w:pPr>
      <w:r w:rsidRPr="00985EBC">
        <w:rPr>
          <w:rFonts w:asciiTheme="majorHAnsi" w:hAnsiTheme="majorHAnsi"/>
          <w:color w:val="000000" w:themeColor="text1"/>
          <w:sz w:val="24"/>
          <w:szCs w:val="24"/>
          <w:lang w:val="ro-RO"/>
        </w:rPr>
        <w:lastRenderedPageBreak/>
        <w:t>D.Concluzii</w:t>
      </w:r>
    </w:p>
    <w:p w:rsidR="00F52EB2" w:rsidRPr="00985EBC" w:rsidRDefault="00F52EB2" w:rsidP="00F52EB2">
      <w:pPr>
        <w:rPr>
          <w:rFonts w:asciiTheme="majorHAnsi" w:hAnsiTheme="majorHAnsi"/>
          <w:color w:val="000000" w:themeColor="text1"/>
          <w:sz w:val="24"/>
          <w:szCs w:val="24"/>
          <w:lang w:val="ro-RO"/>
        </w:rPr>
      </w:pPr>
    </w:p>
    <w:p w:rsidR="00F52EB2" w:rsidRPr="00985EBC" w:rsidRDefault="00F52EB2" w:rsidP="00F52EB2">
      <w:pPr>
        <w:rPr>
          <w:rFonts w:asciiTheme="majorHAnsi" w:hAnsiTheme="majorHAnsi"/>
          <w:color w:val="000000" w:themeColor="text1"/>
          <w:sz w:val="24"/>
          <w:szCs w:val="24"/>
          <w:lang w:val="ro-RO"/>
        </w:rPr>
      </w:pPr>
      <w:r w:rsidRPr="00985EBC">
        <w:rPr>
          <w:rFonts w:asciiTheme="majorHAnsi" w:hAnsiTheme="majorHAnsi"/>
          <w:color w:val="000000" w:themeColor="text1"/>
          <w:sz w:val="24"/>
          <w:szCs w:val="24"/>
          <w:lang w:val="ro-RO"/>
        </w:rPr>
        <w:t>În cadrul primului compartiment ”Evaluarea generală” algoritmul a rînduit următoarele elemente, care  trebui</w:t>
      </w:r>
      <w:r w:rsidR="00203A09" w:rsidRPr="00985EBC">
        <w:rPr>
          <w:rFonts w:asciiTheme="majorHAnsi" w:hAnsiTheme="majorHAnsi"/>
          <w:color w:val="000000" w:themeColor="text1"/>
          <w:sz w:val="24"/>
          <w:szCs w:val="24"/>
          <w:lang w:val="ro-RO"/>
        </w:rPr>
        <w:t>e</w:t>
      </w:r>
      <w:r w:rsidRPr="00985EBC">
        <w:rPr>
          <w:rFonts w:asciiTheme="majorHAnsi" w:hAnsiTheme="majorHAnsi"/>
          <w:color w:val="000000" w:themeColor="text1"/>
          <w:sz w:val="24"/>
          <w:szCs w:val="24"/>
          <w:lang w:val="ro-RO"/>
        </w:rPr>
        <w:t xml:space="preserve"> </w:t>
      </w:r>
      <w:r w:rsidR="00203A09" w:rsidRPr="00985EBC">
        <w:rPr>
          <w:rFonts w:asciiTheme="majorHAnsi" w:hAnsiTheme="majorHAnsi"/>
          <w:color w:val="000000" w:themeColor="text1"/>
          <w:sz w:val="24"/>
          <w:szCs w:val="24"/>
          <w:lang w:val="ro-RO"/>
        </w:rPr>
        <w:t xml:space="preserve"> </w:t>
      </w:r>
      <w:r w:rsidRPr="00985EBC">
        <w:rPr>
          <w:rFonts w:asciiTheme="majorHAnsi" w:hAnsiTheme="majorHAnsi"/>
          <w:color w:val="000000" w:themeColor="text1"/>
          <w:sz w:val="24"/>
          <w:szCs w:val="24"/>
          <w:lang w:val="ro-RO"/>
        </w:rPr>
        <w:t>specificate în mod obligatoriu de către expert: autorul proiectului (cu posibilitatea selectării unei anumite opţiuni); categoria actului (cu posibilitatea selectării unei anumite opţiuni); scopul actului; nota informativă (cu posibilitatea selectării unei anumite opţiuni); sfera de reglementare a proiectului corespondentă unui anumit drept (cu posibilitatea selectării unei anumite opţiuni).</w:t>
      </w:r>
    </w:p>
    <w:p w:rsidR="00F52EB2" w:rsidRPr="00985EBC" w:rsidRDefault="00F52EB2" w:rsidP="00F52EB2">
      <w:pPr>
        <w:rPr>
          <w:rFonts w:asciiTheme="majorHAnsi" w:hAnsiTheme="majorHAnsi"/>
          <w:color w:val="000000" w:themeColor="text1"/>
          <w:sz w:val="24"/>
          <w:szCs w:val="24"/>
          <w:lang w:val="ro-RO"/>
        </w:rPr>
      </w:pPr>
    </w:p>
    <w:p w:rsidR="00F52EB2" w:rsidRPr="00985EBC" w:rsidRDefault="00F52EB2" w:rsidP="00F52EB2">
      <w:pPr>
        <w:rPr>
          <w:rFonts w:asciiTheme="majorHAnsi" w:hAnsiTheme="majorHAnsi"/>
          <w:color w:val="000000" w:themeColor="text1"/>
          <w:sz w:val="24"/>
          <w:szCs w:val="24"/>
          <w:lang w:val="ro-RO"/>
        </w:rPr>
      </w:pPr>
      <w:r w:rsidRPr="00985EBC">
        <w:rPr>
          <w:rFonts w:asciiTheme="majorHAnsi" w:hAnsiTheme="majorHAnsi"/>
          <w:color w:val="000000" w:themeColor="text1"/>
          <w:sz w:val="24"/>
          <w:szCs w:val="24"/>
          <w:lang w:val="ro-RO"/>
        </w:rPr>
        <w:t>În cel de al doilea compartiment, întitulat ”Evaluarea de fond a proiectului de act normativ”, algoritmul a inclus obligaţia expertului de verifica</w:t>
      </w:r>
      <w:r w:rsidR="00203A09" w:rsidRPr="00985EBC">
        <w:rPr>
          <w:rFonts w:asciiTheme="majorHAnsi" w:hAnsiTheme="majorHAnsi"/>
          <w:color w:val="000000" w:themeColor="text1"/>
          <w:sz w:val="24"/>
          <w:szCs w:val="24"/>
          <w:lang w:val="ro-RO"/>
        </w:rPr>
        <w:t>re a corespunderii</w:t>
      </w:r>
      <w:r w:rsidRPr="00985EBC">
        <w:rPr>
          <w:rFonts w:asciiTheme="majorHAnsi" w:hAnsiTheme="majorHAnsi"/>
          <w:color w:val="000000" w:themeColor="text1"/>
          <w:sz w:val="24"/>
          <w:szCs w:val="24"/>
          <w:lang w:val="ro-RO"/>
        </w:rPr>
        <w:t xml:space="preserve"> proiectului de lege: </w:t>
      </w:r>
    </w:p>
    <w:p w:rsidR="00F52EB2" w:rsidRPr="00985EBC" w:rsidRDefault="00F52EB2" w:rsidP="00203A09">
      <w:pPr>
        <w:pStyle w:val="ListParagraph"/>
        <w:numPr>
          <w:ilvl w:val="0"/>
          <w:numId w:val="15"/>
        </w:numPr>
        <w:rPr>
          <w:rFonts w:asciiTheme="majorHAnsi" w:hAnsiTheme="majorHAnsi"/>
          <w:color w:val="000000" w:themeColor="text1"/>
          <w:lang w:val="ro-RO"/>
        </w:rPr>
      </w:pPr>
      <w:r w:rsidRPr="00985EBC">
        <w:rPr>
          <w:rFonts w:asciiTheme="majorHAnsi" w:hAnsiTheme="majorHAnsi"/>
          <w:color w:val="000000" w:themeColor="text1"/>
          <w:lang w:val="ro-RO"/>
        </w:rPr>
        <w:t xml:space="preserve">principiilor transparenţei,  participării şi responsabilizării (prin oferirea unui răspuns precis la nişte criterii determinate); </w:t>
      </w:r>
    </w:p>
    <w:p w:rsidR="00F52EB2" w:rsidRPr="00985EBC" w:rsidRDefault="00F52EB2" w:rsidP="00203A09">
      <w:pPr>
        <w:pStyle w:val="ListParagraph"/>
        <w:numPr>
          <w:ilvl w:val="0"/>
          <w:numId w:val="15"/>
        </w:numPr>
        <w:rPr>
          <w:rFonts w:asciiTheme="majorHAnsi" w:hAnsiTheme="majorHAnsi"/>
          <w:color w:val="000000" w:themeColor="text1"/>
          <w:lang w:val="ro-RO"/>
        </w:rPr>
      </w:pPr>
      <w:r w:rsidRPr="00985EBC">
        <w:rPr>
          <w:rFonts w:asciiTheme="majorHAnsi" w:hAnsiTheme="majorHAnsi"/>
          <w:color w:val="000000" w:themeColor="text1"/>
          <w:lang w:val="ro-RO"/>
        </w:rPr>
        <w:t>normelor constituţionale;</w:t>
      </w:r>
    </w:p>
    <w:p w:rsidR="00F52EB2" w:rsidRPr="00985EBC" w:rsidRDefault="00F52EB2" w:rsidP="00203A09">
      <w:pPr>
        <w:pStyle w:val="ListParagraph"/>
        <w:numPr>
          <w:ilvl w:val="0"/>
          <w:numId w:val="15"/>
        </w:numPr>
        <w:rPr>
          <w:rFonts w:asciiTheme="majorHAnsi" w:hAnsiTheme="majorHAnsi"/>
          <w:color w:val="000000" w:themeColor="text1"/>
          <w:lang w:val="ro-RO"/>
        </w:rPr>
      </w:pPr>
      <w:r w:rsidRPr="00985EBC">
        <w:rPr>
          <w:rFonts w:asciiTheme="majorHAnsi" w:hAnsiTheme="majorHAnsi"/>
          <w:color w:val="000000" w:themeColor="text1"/>
          <w:lang w:val="ro-RO"/>
        </w:rPr>
        <w:t>legislaţiei corelative;</w:t>
      </w:r>
    </w:p>
    <w:p w:rsidR="00F52EB2" w:rsidRPr="00985EBC" w:rsidRDefault="00F52EB2" w:rsidP="00203A09">
      <w:pPr>
        <w:pStyle w:val="ListParagraph"/>
        <w:numPr>
          <w:ilvl w:val="0"/>
          <w:numId w:val="15"/>
        </w:numPr>
        <w:rPr>
          <w:rFonts w:asciiTheme="majorHAnsi" w:hAnsiTheme="majorHAnsi"/>
          <w:color w:val="000000" w:themeColor="text1"/>
          <w:lang w:val="ro-RO"/>
        </w:rPr>
      </w:pPr>
      <w:r w:rsidRPr="00985EBC">
        <w:rPr>
          <w:rFonts w:asciiTheme="majorHAnsi" w:hAnsiTheme="majorHAnsi"/>
          <w:color w:val="000000" w:themeColor="text1"/>
          <w:lang w:val="ro-RO"/>
        </w:rPr>
        <w:t>standardelor internaţionale;</w:t>
      </w:r>
    </w:p>
    <w:p w:rsidR="00F52EB2" w:rsidRPr="00985EBC" w:rsidRDefault="00F52EB2" w:rsidP="00203A09">
      <w:pPr>
        <w:pStyle w:val="ListParagraph"/>
        <w:numPr>
          <w:ilvl w:val="0"/>
          <w:numId w:val="15"/>
        </w:numPr>
        <w:rPr>
          <w:rFonts w:asciiTheme="majorHAnsi" w:hAnsiTheme="majorHAnsi"/>
          <w:color w:val="000000" w:themeColor="text1"/>
          <w:lang w:val="ro-RO"/>
        </w:rPr>
      </w:pPr>
      <w:r w:rsidRPr="00985EBC">
        <w:rPr>
          <w:rFonts w:asciiTheme="majorHAnsi" w:hAnsiTheme="majorHAnsi"/>
          <w:color w:val="000000" w:themeColor="text1"/>
          <w:lang w:val="ro-RO"/>
        </w:rPr>
        <w:t>jurisprudenţei Curţii Constituţionale;</w:t>
      </w:r>
    </w:p>
    <w:p w:rsidR="00F52EB2" w:rsidRPr="00985EBC" w:rsidRDefault="00F52EB2" w:rsidP="00203A09">
      <w:pPr>
        <w:pStyle w:val="ListParagraph"/>
        <w:numPr>
          <w:ilvl w:val="0"/>
          <w:numId w:val="15"/>
        </w:numPr>
        <w:rPr>
          <w:rFonts w:asciiTheme="majorHAnsi" w:hAnsiTheme="majorHAnsi"/>
          <w:color w:val="000000" w:themeColor="text1"/>
          <w:lang w:val="ro-RO"/>
        </w:rPr>
      </w:pPr>
      <w:r w:rsidRPr="00985EBC">
        <w:rPr>
          <w:rFonts w:asciiTheme="majorHAnsi" w:hAnsiTheme="majorHAnsi"/>
          <w:color w:val="000000" w:themeColor="text1"/>
          <w:lang w:val="ro-RO"/>
        </w:rPr>
        <w:t>jurisprudenţei CEDO.</w:t>
      </w:r>
    </w:p>
    <w:p w:rsidR="00203A09" w:rsidRPr="00985EBC" w:rsidRDefault="00203A09" w:rsidP="00F52EB2">
      <w:pPr>
        <w:rPr>
          <w:rFonts w:ascii="Calibri" w:hAnsi="Calibri"/>
          <w:color w:val="000000" w:themeColor="text1"/>
          <w:lang w:val="ro-RO"/>
        </w:rPr>
      </w:pPr>
    </w:p>
    <w:p w:rsidR="00F52EB2" w:rsidRPr="00985EBC" w:rsidRDefault="00F52EB2" w:rsidP="00F52EB2">
      <w:pPr>
        <w:rPr>
          <w:rFonts w:asciiTheme="majorHAnsi" w:eastAsia="Times New Roman" w:hAnsiTheme="majorHAnsi" w:cs="Times New Roman"/>
          <w:color w:val="000000" w:themeColor="text1"/>
          <w:sz w:val="24"/>
          <w:szCs w:val="24"/>
          <w:lang w:val="ro-RO" w:eastAsia="sv-SE"/>
        </w:rPr>
      </w:pPr>
      <w:r w:rsidRPr="00985EBC">
        <w:rPr>
          <w:rFonts w:asciiTheme="majorHAnsi" w:eastAsia="Times New Roman" w:hAnsiTheme="majorHAnsi" w:cs="Times New Roman"/>
          <w:color w:val="000000" w:themeColor="text1"/>
          <w:sz w:val="24"/>
          <w:szCs w:val="24"/>
          <w:lang w:val="ro-RO" w:eastAsia="sv-SE"/>
        </w:rPr>
        <w:t>Totodată, în cel de al doilea compartiment, expertul trebui</w:t>
      </w:r>
      <w:r w:rsidR="00203A09" w:rsidRPr="00985EBC">
        <w:rPr>
          <w:rFonts w:asciiTheme="majorHAnsi" w:eastAsia="Times New Roman" w:hAnsiTheme="majorHAnsi" w:cs="Times New Roman"/>
          <w:color w:val="000000" w:themeColor="text1"/>
          <w:sz w:val="24"/>
          <w:szCs w:val="24"/>
          <w:lang w:val="ro-RO" w:eastAsia="sv-SE"/>
        </w:rPr>
        <w:t>e</w:t>
      </w:r>
      <w:r w:rsidRPr="00985EBC">
        <w:rPr>
          <w:rFonts w:asciiTheme="majorHAnsi" w:eastAsia="Times New Roman" w:hAnsiTheme="majorHAnsi" w:cs="Times New Roman"/>
          <w:color w:val="000000" w:themeColor="text1"/>
          <w:sz w:val="24"/>
          <w:szCs w:val="24"/>
          <w:lang w:val="ro-RO" w:eastAsia="sv-SE"/>
        </w:rPr>
        <w:t>:</w:t>
      </w:r>
    </w:p>
    <w:p w:rsidR="00F52EB2" w:rsidRPr="00985EBC" w:rsidRDefault="00F52EB2" w:rsidP="00F52EB2">
      <w:pPr>
        <w:ind w:firstLine="1304"/>
        <w:rPr>
          <w:rFonts w:asciiTheme="majorHAnsi" w:eastAsia="Times New Roman" w:hAnsiTheme="majorHAnsi" w:cs="Times New Roman"/>
          <w:color w:val="000000" w:themeColor="text1"/>
          <w:sz w:val="24"/>
          <w:szCs w:val="24"/>
          <w:lang w:val="ro-RO" w:eastAsia="sv-SE"/>
        </w:rPr>
      </w:pPr>
      <w:r w:rsidRPr="00985EBC">
        <w:rPr>
          <w:rFonts w:asciiTheme="majorHAnsi" w:eastAsia="Times New Roman" w:hAnsiTheme="majorHAnsi" w:cs="Times New Roman"/>
          <w:color w:val="000000" w:themeColor="text1"/>
          <w:sz w:val="24"/>
          <w:szCs w:val="24"/>
          <w:lang w:val="ro-RO" w:eastAsia="sv-SE"/>
        </w:rPr>
        <w:t>să aprecieze impactul proiectului prin prisma drepturilor omului, bifînd una din următoarele opţiuni – proiectul limitează sau încalcă sau omite/ignoră sau respectă drepturile/libertăţile;</w:t>
      </w:r>
    </w:p>
    <w:p w:rsidR="00F52EB2" w:rsidRPr="00985EBC" w:rsidRDefault="00F52EB2" w:rsidP="00F52EB2">
      <w:pPr>
        <w:ind w:firstLine="1304"/>
        <w:rPr>
          <w:rFonts w:asciiTheme="majorHAnsi" w:eastAsia="Times New Roman" w:hAnsiTheme="majorHAnsi" w:cs="Times New Roman"/>
          <w:color w:val="000000" w:themeColor="text1"/>
          <w:sz w:val="24"/>
          <w:szCs w:val="24"/>
          <w:lang w:val="ro-RO" w:eastAsia="sv-SE"/>
        </w:rPr>
      </w:pPr>
      <w:r w:rsidRPr="00985EBC">
        <w:rPr>
          <w:rFonts w:asciiTheme="majorHAnsi" w:eastAsia="Times New Roman" w:hAnsiTheme="majorHAnsi" w:cs="Times New Roman"/>
          <w:color w:val="000000" w:themeColor="text1"/>
          <w:sz w:val="24"/>
          <w:szCs w:val="24"/>
          <w:lang w:val="ro-RO" w:eastAsia="sv-SE"/>
        </w:rPr>
        <w:t>să aprecieze impactul gender al proiectului, bifînd una din următoarele opţiuni -  proiectul este gender sensibil sau gender neutru sau gender orientat sau este discriminatoriu sau gender asimetric sau nu stabileşte şanse egale pentru bărbaţi şi femei sau există necesitatea prevederii acţiunilor afirmative.</w:t>
      </w:r>
    </w:p>
    <w:p w:rsidR="00F52EB2" w:rsidRPr="00985EBC" w:rsidRDefault="00F52EB2" w:rsidP="00F52EB2">
      <w:pPr>
        <w:rPr>
          <w:rFonts w:asciiTheme="majorHAnsi" w:eastAsia="Times New Roman" w:hAnsiTheme="majorHAnsi" w:cs="Times New Roman"/>
          <w:color w:val="000000" w:themeColor="text1"/>
          <w:sz w:val="24"/>
          <w:szCs w:val="24"/>
          <w:lang w:val="ro-RO" w:eastAsia="sv-SE"/>
        </w:rPr>
      </w:pPr>
    </w:p>
    <w:p w:rsidR="00F52EB2" w:rsidRPr="00985EBC" w:rsidRDefault="00F52EB2" w:rsidP="00F5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000000" w:themeColor="text1"/>
          <w:sz w:val="24"/>
          <w:szCs w:val="24"/>
          <w:lang w:val="ro-RO" w:eastAsia="sv-SE"/>
        </w:rPr>
      </w:pPr>
      <w:r w:rsidRPr="00985EBC">
        <w:rPr>
          <w:rFonts w:asciiTheme="majorHAnsi" w:eastAsia="Times New Roman" w:hAnsiTheme="majorHAnsi" w:cs="Times New Roman"/>
          <w:color w:val="000000" w:themeColor="text1"/>
          <w:sz w:val="24"/>
          <w:szCs w:val="24"/>
          <w:lang w:val="ro-RO" w:eastAsia="sv-SE"/>
        </w:rPr>
        <w:t>Al treilea compartiment</w:t>
      </w:r>
      <w:r w:rsidR="00203A09" w:rsidRPr="00985EBC">
        <w:rPr>
          <w:rFonts w:asciiTheme="majorHAnsi" w:eastAsia="Times New Roman" w:hAnsiTheme="majorHAnsi" w:cs="Times New Roman"/>
          <w:color w:val="000000" w:themeColor="text1"/>
          <w:sz w:val="24"/>
          <w:szCs w:val="24"/>
          <w:lang w:val="ro-RO" w:eastAsia="sv-SE"/>
        </w:rPr>
        <w:t xml:space="preserve">, întitulat «Analiza detaliată a textului proiectului» </w:t>
      </w:r>
      <w:r w:rsidRPr="00985EBC">
        <w:rPr>
          <w:rFonts w:asciiTheme="majorHAnsi" w:eastAsia="Times New Roman" w:hAnsiTheme="majorHAnsi" w:cs="Times New Roman"/>
          <w:color w:val="000000" w:themeColor="text1"/>
          <w:sz w:val="24"/>
          <w:szCs w:val="24"/>
          <w:lang w:val="ro-RO" w:eastAsia="sv-SE"/>
        </w:rPr>
        <w:t>a fost consacrat analizei detaliate a textului proiectului şi a inclus: numărul şi textul normei cu privire la care este formulată obiecţia; obiecţia propriu-zisă, factorii de vulnerabilitate (expertul selectează factorii dintr-o listă</w:t>
      </w:r>
      <w:r w:rsidR="00203A09" w:rsidRPr="00985EBC">
        <w:rPr>
          <w:rFonts w:asciiTheme="majorHAnsi" w:eastAsia="Times New Roman" w:hAnsiTheme="majorHAnsi" w:cs="Times New Roman"/>
          <w:color w:val="000000" w:themeColor="text1"/>
          <w:sz w:val="24"/>
          <w:szCs w:val="24"/>
          <w:lang w:val="ro-RO" w:eastAsia="sv-SE"/>
        </w:rPr>
        <w:t xml:space="preserve"> prestabilită</w:t>
      </w:r>
      <w:r w:rsidRPr="00985EBC">
        <w:rPr>
          <w:rFonts w:asciiTheme="majorHAnsi" w:eastAsia="Times New Roman" w:hAnsiTheme="majorHAnsi" w:cs="Times New Roman"/>
          <w:color w:val="000000" w:themeColor="text1"/>
          <w:sz w:val="24"/>
          <w:szCs w:val="24"/>
          <w:lang w:val="ro-RO" w:eastAsia="sv-SE"/>
        </w:rPr>
        <w:t xml:space="preserve">); recomandarea formulată de către expert. La elaborarea algoritmului acestui compartiment s-a ţinut cont şi de posibilitatea lărgirii listei factorilor de vulnerabilitate. </w:t>
      </w:r>
    </w:p>
    <w:p w:rsidR="00F52EB2" w:rsidRPr="00985EBC" w:rsidRDefault="00F52EB2" w:rsidP="00F5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000000" w:themeColor="text1"/>
          <w:sz w:val="24"/>
          <w:szCs w:val="24"/>
          <w:lang w:val="ro-RO" w:eastAsia="sv-SE"/>
        </w:rPr>
      </w:pPr>
    </w:p>
    <w:p w:rsidR="00F52EB2" w:rsidRPr="00985EBC" w:rsidRDefault="00F52EB2" w:rsidP="00F52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imes New Roman"/>
          <w:color w:val="000000" w:themeColor="text1"/>
          <w:sz w:val="24"/>
          <w:szCs w:val="24"/>
          <w:lang w:val="ro-RO" w:eastAsia="sv-SE"/>
        </w:rPr>
      </w:pPr>
      <w:r w:rsidRPr="00985EBC">
        <w:rPr>
          <w:rFonts w:asciiTheme="majorHAnsi" w:eastAsia="Times New Roman" w:hAnsiTheme="majorHAnsi" w:cs="Times New Roman"/>
          <w:color w:val="000000" w:themeColor="text1"/>
          <w:sz w:val="24"/>
          <w:szCs w:val="24"/>
          <w:lang w:val="ro-RO" w:eastAsia="sv-SE"/>
        </w:rPr>
        <w:t>În cel de al patrulea compartiment ”Concluzii”, algoritmul a stabilit obligativitatea formulării de către expert a concluziilor de o manieră precisă.</w:t>
      </w:r>
    </w:p>
    <w:p w:rsidR="00F52EB2" w:rsidRPr="00985EBC" w:rsidRDefault="00F52EB2">
      <w:pPr>
        <w:rPr>
          <w:rFonts w:asciiTheme="majorHAnsi" w:hAnsiTheme="majorHAnsi"/>
          <w:sz w:val="24"/>
          <w:szCs w:val="24"/>
          <w:lang w:val="ro-RO"/>
        </w:rPr>
      </w:pPr>
    </w:p>
    <w:p w:rsidR="00203A09" w:rsidRPr="00985EBC" w:rsidRDefault="00203A09">
      <w:pPr>
        <w:rPr>
          <w:rFonts w:asciiTheme="majorHAnsi" w:hAnsiTheme="majorHAnsi"/>
          <w:sz w:val="24"/>
          <w:szCs w:val="24"/>
          <w:lang w:val="ro-RO"/>
        </w:rPr>
      </w:pPr>
    </w:p>
    <w:p w:rsidR="00F52EB2" w:rsidRDefault="00F52EB2" w:rsidP="00F52EB2">
      <w:pPr>
        <w:rPr>
          <w:rFonts w:ascii="Calibri" w:hAnsi="Calibri"/>
          <w:color w:val="0000FF"/>
          <w:lang w:val="ro-RO"/>
        </w:rPr>
      </w:pPr>
    </w:p>
    <w:p w:rsidR="00FA516C" w:rsidRDefault="00FA516C" w:rsidP="00F52EB2">
      <w:pPr>
        <w:rPr>
          <w:rFonts w:ascii="Calibri" w:hAnsi="Calibri"/>
          <w:color w:val="0000FF"/>
          <w:lang w:val="ro-RO"/>
        </w:rPr>
      </w:pPr>
    </w:p>
    <w:p w:rsidR="00FA516C" w:rsidRDefault="00FA516C" w:rsidP="00F52EB2">
      <w:pPr>
        <w:rPr>
          <w:rFonts w:ascii="Calibri" w:hAnsi="Calibri"/>
          <w:color w:val="0000FF"/>
          <w:lang w:val="ro-RO"/>
        </w:rPr>
      </w:pPr>
    </w:p>
    <w:p w:rsidR="00FA516C" w:rsidRDefault="00FA516C" w:rsidP="00F52EB2">
      <w:pPr>
        <w:rPr>
          <w:rFonts w:ascii="Calibri" w:hAnsi="Calibri"/>
          <w:color w:val="0000FF"/>
          <w:lang w:val="ro-RO"/>
        </w:rPr>
      </w:pPr>
    </w:p>
    <w:p w:rsidR="00FA516C" w:rsidRDefault="00FA516C" w:rsidP="00F52EB2">
      <w:pPr>
        <w:rPr>
          <w:rFonts w:ascii="Calibri" w:hAnsi="Calibri"/>
          <w:color w:val="0000FF"/>
          <w:lang w:val="ro-RO"/>
        </w:rPr>
      </w:pPr>
    </w:p>
    <w:p w:rsidR="00FA516C" w:rsidRDefault="00FA516C" w:rsidP="00F52EB2">
      <w:pPr>
        <w:rPr>
          <w:rFonts w:ascii="Calibri" w:hAnsi="Calibri"/>
          <w:color w:val="0000FF"/>
          <w:lang w:val="ro-RO"/>
        </w:rPr>
      </w:pPr>
    </w:p>
    <w:p w:rsidR="00851FE5" w:rsidRDefault="00851FE5" w:rsidP="00F52EB2">
      <w:pPr>
        <w:rPr>
          <w:rFonts w:ascii="Calibri" w:hAnsi="Calibri"/>
          <w:color w:val="0000FF"/>
          <w:lang w:val="ro-RO"/>
        </w:rPr>
      </w:pPr>
    </w:p>
    <w:p w:rsidR="00E94DC7" w:rsidRPr="00985EBC" w:rsidRDefault="00E94DC7" w:rsidP="00F52EB2">
      <w:pPr>
        <w:rPr>
          <w:rFonts w:ascii="Calibri" w:hAnsi="Calibri"/>
          <w:color w:val="0000FF"/>
          <w:lang w:val="ro-RO"/>
        </w:rPr>
      </w:pPr>
    </w:p>
    <w:p w:rsidR="004608B9" w:rsidRPr="00985EBC" w:rsidRDefault="00B92518" w:rsidP="00985EBC">
      <w:pPr>
        <w:pStyle w:val="Heading1"/>
        <w:rPr>
          <w:lang w:val="ro-RO"/>
        </w:rPr>
      </w:pPr>
      <w:bookmarkStart w:id="9" w:name="_Toc409790616"/>
      <w:r w:rsidRPr="00985EBC">
        <w:rPr>
          <w:lang w:val="ro-RO"/>
        </w:rPr>
        <w:t>III. MONITORIZAREA PROCESULUI DE CREAŢIE LEGISLATIVĂ DIN PERSPECTIVA DREPTURILOR OMULUI</w:t>
      </w:r>
      <w:bookmarkEnd w:id="9"/>
    </w:p>
    <w:p w:rsidR="00785DA3" w:rsidRPr="00985EBC" w:rsidRDefault="00785DA3">
      <w:pPr>
        <w:rPr>
          <w:rFonts w:asciiTheme="majorHAnsi" w:hAnsiTheme="majorHAnsi"/>
          <w:sz w:val="24"/>
          <w:szCs w:val="24"/>
          <w:lang w:val="ro-RO"/>
        </w:rPr>
      </w:pPr>
    </w:p>
    <w:p w:rsidR="00757817" w:rsidRPr="00985EBC" w:rsidRDefault="00785DA3">
      <w:pPr>
        <w:rPr>
          <w:rFonts w:asciiTheme="majorHAnsi" w:hAnsiTheme="majorHAnsi"/>
          <w:sz w:val="24"/>
          <w:szCs w:val="24"/>
          <w:lang w:val="ro-RO"/>
        </w:rPr>
      </w:pPr>
      <w:r w:rsidRPr="00985EBC">
        <w:rPr>
          <w:rFonts w:asciiTheme="majorHAnsi" w:hAnsiTheme="majorHAnsi"/>
          <w:sz w:val="24"/>
          <w:szCs w:val="24"/>
          <w:lang w:val="ro-RO"/>
        </w:rPr>
        <w:lastRenderedPageBreak/>
        <w:t xml:space="preserve">Acest capitol, după o scurtă introducere privind eşantionul de realizare a Studiului,  prezintă principalele constatări făcute de experţii CAPC în procesul efectuării expertizei legislaţiei din perspectiva drepturilor omului:  analiza proiectelor prin prisma domeniilor de expertiză, tipului actului legislativ şi a autorilor iniţiativelor legislative (secţiunile III.2 – III.4);  gradul de argumentare a promovării proiectelor de legi (secţiunea III.5); respectarea principiilor transparenţei, participării şi responsabilizării </w:t>
      </w:r>
      <w:r w:rsidR="002E3E4E" w:rsidRPr="00985EBC">
        <w:rPr>
          <w:rFonts w:asciiTheme="majorHAnsi" w:hAnsiTheme="majorHAnsi"/>
          <w:sz w:val="24"/>
          <w:szCs w:val="24"/>
          <w:lang w:val="ro-RO"/>
        </w:rPr>
        <w:t>cu indicarea unor exemple de proiecte de legi, în eventualitatea implementării cărora se vor respecta sau nu principiile transparenţei, participării şi responsabilizării (secţiunea III.6)</w:t>
      </w:r>
      <w:r w:rsidRPr="00985EBC">
        <w:rPr>
          <w:rFonts w:asciiTheme="majorHAnsi" w:hAnsiTheme="majorHAnsi"/>
          <w:sz w:val="24"/>
          <w:szCs w:val="24"/>
          <w:lang w:val="ro-RO"/>
        </w:rPr>
        <w:t>;</w:t>
      </w:r>
      <w:r w:rsidR="00D71262" w:rsidRPr="00985EBC">
        <w:rPr>
          <w:rFonts w:ascii="Cambria" w:hAnsi="Cambria" w:cs="Arial"/>
          <w:sz w:val="24"/>
          <w:szCs w:val="24"/>
          <w:lang w:val="ro-RO"/>
        </w:rPr>
        <w:t xml:space="preserve"> ponderea reglementării anumitor drepturi  prevăzute în Constituţia RM în proiectele de legi expertizate (secţiunea III.7) şi </w:t>
      </w:r>
      <w:r w:rsidR="00D71262" w:rsidRPr="00985EBC">
        <w:rPr>
          <w:rFonts w:asciiTheme="majorHAnsi" w:hAnsiTheme="majorHAnsi"/>
          <w:sz w:val="24"/>
          <w:szCs w:val="24"/>
          <w:lang w:val="ro-RO"/>
        </w:rPr>
        <w:t xml:space="preserve">impactul gender al proiectelor de legi </w:t>
      </w:r>
      <w:r w:rsidR="00D71262" w:rsidRPr="00985EBC">
        <w:rPr>
          <w:rFonts w:ascii="Cambria" w:hAnsi="Cambria" w:cs="Arial"/>
          <w:sz w:val="24"/>
          <w:szCs w:val="24"/>
          <w:lang w:val="ro-RO"/>
        </w:rPr>
        <w:t>(secţiunea III.8).</w:t>
      </w:r>
    </w:p>
    <w:p w:rsidR="005941C1" w:rsidRPr="00985EBC" w:rsidRDefault="000E04C9" w:rsidP="007139C9">
      <w:pPr>
        <w:pStyle w:val="Heading1"/>
        <w:rPr>
          <w:lang w:val="ro-RO"/>
        </w:rPr>
      </w:pPr>
      <w:bookmarkStart w:id="10" w:name="_Toc409790617"/>
      <w:r w:rsidRPr="00985EBC">
        <w:rPr>
          <w:lang w:val="ro-RO"/>
        </w:rPr>
        <w:t xml:space="preserve">III.1 </w:t>
      </w:r>
      <w:r w:rsidR="00F56431" w:rsidRPr="00985EBC">
        <w:rPr>
          <w:lang w:val="ro-RO"/>
        </w:rPr>
        <w:t>Eşantion</w:t>
      </w:r>
      <w:r w:rsidRPr="00985EBC">
        <w:rPr>
          <w:lang w:val="ro-RO"/>
        </w:rPr>
        <w:t>ul de realizare a Studiului</w:t>
      </w:r>
      <w:bookmarkEnd w:id="10"/>
    </w:p>
    <w:p w:rsidR="00D164BF" w:rsidRPr="00985EBC" w:rsidRDefault="00D164BF">
      <w:pPr>
        <w:rPr>
          <w:rFonts w:asciiTheme="majorHAnsi" w:hAnsiTheme="majorHAnsi"/>
          <w:sz w:val="24"/>
          <w:szCs w:val="24"/>
          <w:lang w:val="ro-RO"/>
        </w:rPr>
      </w:pPr>
    </w:p>
    <w:p w:rsidR="00D164BF" w:rsidRPr="00985EBC" w:rsidRDefault="00D164BF">
      <w:pPr>
        <w:rPr>
          <w:rFonts w:asciiTheme="majorHAnsi" w:hAnsiTheme="majorHAnsi"/>
          <w:sz w:val="24"/>
          <w:szCs w:val="24"/>
          <w:lang w:val="ro-RO"/>
        </w:rPr>
      </w:pPr>
      <w:r w:rsidRPr="00985EBC">
        <w:rPr>
          <w:rFonts w:asciiTheme="majorHAnsi" w:hAnsiTheme="majorHAnsi"/>
          <w:sz w:val="24"/>
          <w:szCs w:val="24"/>
          <w:lang w:val="ro-RO"/>
        </w:rPr>
        <w:t>Constatările de mai jos se bazează pe analiza datelor statistice furnizate de e-template, generate în rezultatul efectuării expertizei</w:t>
      </w:r>
      <w:r w:rsidR="004B7879" w:rsidRPr="00985EBC">
        <w:rPr>
          <w:rFonts w:asciiTheme="majorHAnsi" w:hAnsiTheme="majorHAnsi"/>
          <w:sz w:val="24"/>
          <w:szCs w:val="24"/>
          <w:lang w:val="ro-RO"/>
        </w:rPr>
        <w:t>, în perioada iunie 2013 - decembrie 2014,</w:t>
      </w:r>
      <w:r w:rsidRPr="00985EBC">
        <w:rPr>
          <w:rFonts w:asciiTheme="majorHAnsi" w:hAnsiTheme="majorHAnsi"/>
          <w:sz w:val="24"/>
          <w:szCs w:val="24"/>
          <w:lang w:val="ro-RO"/>
        </w:rPr>
        <w:t xml:space="preserve"> a </w:t>
      </w:r>
      <w:r w:rsidR="00B651EC" w:rsidRPr="00985EBC">
        <w:rPr>
          <w:rFonts w:asciiTheme="majorHAnsi" w:hAnsiTheme="majorHAnsi"/>
          <w:sz w:val="24"/>
          <w:szCs w:val="24"/>
          <w:lang w:val="ro-RO"/>
        </w:rPr>
        <w:t xml:space="preserve">77 de proiecte, dintre care: </w:t>
      </w:r>
      <w:r w:rsidRPr="00985EBC">
        <w:rPr>
          <w:rFonts w:asciiTheme="majorHAnsi" w:hAnsiTheme="majorHAnsi"/>
          <w:sz w:val="24"/>
          <w:szCs w:val="24"/>
          <w:lang w:val="ro-RO"/>
        </w:rPr>
        <w:t xml:space="preserve">75 de proiecte de acte legislative şi 2 proiecte de acte normative.  </w:t>
      </w:r>
      <w:r w:rsidR="002773F5" w:rsidRPr="00985EBC">
        <w:rPr>
          <w:rFonts w:asciiTheme="majorHAnsi" w:hAnsiTheme="majorHAnsi"/>
          <w:sz w:val="24"/>
          <w:szCs w:val="24"/>
          <w:lang w:val="ro-RO"/>
        </w:rPr>
        <w:t>La momentul realizării prezentului Studiu, 20 proiecte au fost adoptate şi publicate în MO, 1 proiect a fost adoptat, nefiind publicat în MO, iar 2 proiecte au fost respinse/retrase.</w:t>
      </w:r>
      <w:r w:rsidRPr="00985EBC">
        <w:rPr>
          <w:rFonts w:asciiTheme="majorHAnsi" w:hAnsiTheme="majorHAnsi"/>
          <w:sz w:val="24"/>
          <w:szCs w:val="24"/>
          <w:lang w:val="ro-RO"/>
        </w:rPr>
        <w:t xml:space="preserve"> </w:t>
      </w:r>
    </w:p>
    <w:p w:rsidR="00B651EC" w:rsidRPr="00985EBC" w:rsidRDefault="00B651EC">
      <w:pPr>
        <w:rPr>
          <w:rFonts w:asciiTheme="majorHAnsi" w:hAnsiTheme="majorHAnsi"/>
          <w:sz w:val="24"/>
          <w:szCs w:val="24"/>
          <w:lang w:val="ro-RO"/>
        </w:rPr>
      </w:pPr>
    </w:p>
    <w:p w:rsidR="00757817" w:rsidRPr="00985EBC" w:rsidRDefault="00B651EC">
      <w:pPr>
        <w:rPr>
          <w:rFonts w:asciiTheme="majorHAnsi" w:hAnsiTheme="majorHAnsi"/>
          <w:sz w:val="24"/>
          <w:szCs w:val="24"/>
          <w:lang w:val="ro-RO"/>
        </w:rPr>
      </w:pPr>
      <w:r w:rsidRPr="00985EBC">
        <w:rPr>
          <w:rFonts w:asciiTheme="majorHAnsi" w:hAnsiTheme="majorHAnsi"/>
          <w:sz w:val="24"/>
          <w:szCs w:val="24"/>
          <w:lang w:val="ro-RO"/>
        </w:rPr>
        <w:t xml:space="preserve">În </w:t>
      </w:r>
      <w:r w:rsidR="00B84F74" w:rsidRPr="00985EBC">
        <w:rPr>
          <w:rFonts w:asciiTheme="majorHAnsi" w:hAnsiTheme="majorHAnsi"/>
          <w:sz w:val="24"/>
          <w:szCs w:val="24"/>
          <w:lang w:val="ro-RO"/>
        </w:rPr>
        <w:t xml:space="preserve">cele </w:t>
      </w:r>
      <w:r w:rsidRPr="00985EBC">
        <w:rPr>
          <w:rFonts w:asciiTheme="majorHAnsi" w:hAnsiTheme="majorHAnsi"/>
          <w:sz w:val="24"/>
          <w:szCs w:val="24"/>
          <w:lang w:val="ro-RO"/>
        </w:rPr>
        <w:t xml:space="preserve">77 de </w:t>
      </w:r>
      <w:r w:rsidR="0075231E" w:rsidRPr="00985EBC">
        <w:rPr>
          <w:rFonts w:asciiTheme="majorHAnsi" w:hAnsiTheme="majorHAnsi"/>
          <w:sz w:val="24"/>
          <w:szCs w:val="24"/>
          <w:lang w:val="ro-RO"/>
        </w:rPr>
        <w:t>rapoarte</w:t>
      </w:r>
      <w:r w:rsidR="00B84F74" w:rsidRPr="00985EBC">
        <w:rPr>
          <w:rFonts w:asciiTheme="majorHAnsi" w:hAnsiTheme="majorHAnsi"/>
          <w:sz w:val="24"/>
          <w:szCs w:val="24"/>
          <w:lang w:val="ro-RO"/>
        </w:rPr>
        <w:t xml:space="preserve"> experţii CAPC</w:t>
      </w:r>
      <w:r w:rsidRPr="00985EBC">
        <w:rPr>
          <w:rFonts w:asciiTheme="majorHAnsi" w:hAnsiTheme="majorHAnsi"/>
          <w:sz w:val="24"/>
          <w:szCs w:val="24"/>
          <w:lang w:val="ro-RO"/>
        </w:rPr>
        <w:t xml:space="preserve"> au formulat </w:t>
      </w:r>
      <w:r w:rsidR="00EA314B" w:rsidRPr="00985EBC">
        <w:rPr>
          <w:rFonts w:asciiTheme="majorHAnsi" w:hAnsiTheme="majorHAnsi"/>
          <w:sz w:val="24"/>
          <w:szCs w:val="24"/>
          <w:lang w:val="ro-RO"/>
        </w:rPr>
        <w:t xml:space="preserve">în total </w:t>
      </w:r>
      <w:r w:rsidRPr="00985EBC">
        <w:rPr>
          <w:rFonts w:asciiTheme="majorHAnsi" w:hAnsiTheme="majorHAnsi"/>
          <w:sz w:val="24"/>
          <w:szCs w:val="24"/>
          <w:lang w:val="ro-RO"/>
        </w:rPr>
        <w:t xml:space="preserve">991 de obiecţii referitoare la elementele </w:t>
      </w:r>
      <w:r w:rsidR="00EA314B" w:rsidRPr="00985EBC">
        <w:rPr>
          <w:rFonts w:asciiTheme="majorHAnsi" w:hAnsiTheme="majorHAnsi"/>
          <w:sz w:val="24"/>
          <w:szCs w:val="24"/>
          <w:lang w:val="ro-RO"/>
        </w:rPr>
        <w:t>de vulnerabilitate identificate, dintre care 351 de obiecţii în proiectele adoptate/retrase (23 proiecte).</w:t>
      </w:r>
      <w:r w:rsidR="00B84F74" w:rsidRPr="00985EBC">
        <w:rPr>
          <w:rFonts w:asciiTheme="majorHAnsi" w:hAnsiTheme="majorHAnsi"/>
          <w:sz w:val="24"/>
          <w:szCs w:val="24"/>
          <w:lang w:val="ro-RO"/>
        </w:rPr>
        <w:t xml:space="preserve"> </w:t>
      </w:r>
    </w:p>
    <w:p w:rsidR="005941C1" w:rsidRPr="00985EBC" w:rsidRDefault="003E29C7" w:rsidP="007139C9">
      <w:pPr>
        <w:pStyle w:val="Heading1"/>
        <w:rPr>
          <w:lang w:val="ro-RO"/>
        </w:rPr>
      </w:pPr>
      <w:bookmarkStart w:id="11" w:name="_Toc409790618"/>
      <w:r w:rsidRPr="00985EBC">
        <w:rPr>
          <w:lang w:val="ro-RO"/>
        </w:rPr>
        <w:t xml:space="preserve">III.2 </w:t>
      </w:r>
      <w:r w:rsidR="005941C1" w:rsidRPr="00985EBC">
        <w:rPr>
          <w:lang w:val="ro-RO"/>
        </w:rPr>
        <w:t xml:space="preserve">Proiecte de </w:t>
      </w:r>
      <w:r w:rsidR="00D669F3" w:rsidRPr="00985EBC">
        <w:rPr>
          <w:lang w:val="ro-RO"/>
        </w:rPr>
        <w:t>acte normative</w:t>
      </w:r>
      <w:r w:rsidR="005941C1" w:rsidRPr="00985EBC">
        <w:rPr>
          <w:lang w:val="ro-RO"/>
        </w:rPr>
        <w:t xml:space="preserve"> </w:t>
      </w:r>
      <w:r w:rsidR="00D669F3" w:rsidRPr="00985EBC">
        <w:rPr>
          <w:lang w:val="ro-RO"/>
        </w:rPr>
        <w:t>vs.</w:t>
      </w:r>
      <w:r w:rsidR="005941C1" w:rsidRPr="00985EBC">
        <w:rPr>
          <w:lang w:val="ro-RO"/>
        </w:rPr>
        <w:t xml:space="preserve"> domenii de expertiză</w:t>
      </w:r>
      <w:bookmarkEnd w:id="11"/>
    </w:p>
    <w:p w:rsidR="005941C1" w:rsidRPr="00985EBC" w:rsidRDefault="005941C1">
      <w:pPr>
        <w:rPr>
          <w:color w:val="244061" w:themeColor="accent1" w:themeShade="80"/>
          <w:lang w:val="ro-RO"/>
        </w:rPr>
      </w:pPr>
    </w:p>
    <w:p w:rsidR="004B7879" w:rsidRPr="00985EBC" w:rsidRDefault="004B7879" w:rsidP="004B7879">
      <w:pPr>
        <w:rPr>
          <w:rFonts w:asciiTheme="majorHAnsi" w:hAnsiTheme="majorHAnsi" w:cs="Arial"/>
          <w:sz w:val="24"/>
          <w:szCs w:val="24"/>
          <w:lang w:val="ro-RO"/>
        </w:rPr>
      </w:pPr>
      <w:r w:rsidRPr="00985EBC">
        <w:rPr>
          <w:rFonts w:asciiTheme="majorHAnsi" w:hAnsiTheme="majorHAnsi" w:cs="Arial"/>
          <w:sz w:val="24"/>
          <w:szCs w:val="24"/>
          <w:lang w:val="ro-RO"/>
        </w:rPr>
        <w:t xml:space="preserve">În scopul urmăririi principalelor tendinţe </w:t>
      </w:r>
      <w:r w:rsidR="00B6542D" w:rsidRPr="00985EBC">
        <w:rPr>
          <w:rFonts w:asciiTheme="majorHAnsi" w:hAnsiTheme="majorHAnsi" w:cs="Arial"/>
          <w:sz w:val="24"/>
          <w:szCs w:val="24"/>
          <w:lang w:val="ro-RO"/>
        </w:rPr>
        <w:t xml:space="preserve">de </w:t>
      </w:r>
      <w:r w:rsidRPr="00985EBC">
        <w:rPr>
          <w:rFonts w:asciiTheme="majorHAnsi" w:hAnsiTheme="majorHAnsi" w:cs="Arial"/>
          <w:sz w:val="24"/>
          <w:szCs w:val="24"/>
          <w:lang w:val="ro-RO"/>
        </w:rPr>
        <w:t>legi</w:t>
      </w:r>
      <w:r w:rsidR="00B6542D" w:rsidRPr="00985EBC">
        <w:rPr>
          <w:rFonts w:asciiTheme="majorHAnsi" w:hAnsiTheme="majorHAnsi" w:cs="Arial"/>
          <w:sz w:val="24"/>
          <w:szCs w:val="24"/>
          <w:lang w:val="ro-RO"/>
        </w:rPr>
        <w:t>f</w:t>
      </w:r>
      <w:r w:rsidR="007360CB" w:rsidRPr="00985EBC">
        <w:rPr>
          <w:rFonts w:asciiTheme="majorHAnsi" w:hAnsiTheme="majorHAnsi" w:cs="Arial"/>
          <w:sz w:val="24"/>
          <w:szCs w:val="24"/>
          <w:lang w:val="ro-RO"/>
        </w:rPr>
        <w:t>erare</w:t>
      </w:r>
      <w:r w:rsidR="00B6542D" w:rsidRPr="00985EBC">
        <w:rPr>
          <w:rFonts w:asciiTheme="majorHAnsi" w:hAnsiTheme="majorHAnsi" w:cs="Arial"/>
          <w:sz w:val="24"/>
          <w:szCs w:val="24"/>
          <w:lang w:val="ro-RO"/>
        </w:rPr>
        <w:t xml:space="preserve"> în toate domeniile</w:t>
      </w:r>
      <w:r w:rsidR="007360CB" w:rsidRPr="00985EBC">
        <w:rPr>
          <w:rFonts w:asciiTheme="majorHAnsi" w:hAnsiTheme="majorHAnsi" w:cs="Arial"/>
          <w:sz w:val="24"/>
          <w:szCs w:val="24"/>
          <w:lang w:val="ro-RO"/>
        </w:rPr>
        <w:t xml:space="preserve"> legislaţiei</w:t>
      </w:r>
      <w:r w:rsidRPr="00985EBC">
        <w:rPr>
          <w:rFonts w:asciiTheme="majorHAnsi" w:hAnsiTheme="majorHAnsi" w:cs="Arial"/>
          <w:sz w:val="24"/>
          <w:szCs w:val="24"/>
          <w:lang w:val="ro-RO"/>
        </w:rPr>
        <w:t>, proiectele de legi expertizate au fost rînduite în 5 domenii de expertiză: justiţie şi afaceri interne, drepturile şi libertăţile omului; economie şi comerţ; buget şi finanţe; educaţie, cultură, culte şi mass-media; legislaţia muncii, asigurarea socială şi ocrotirea sănătăţii.</w:t>
      </w:r>
    </w:p>
    <w:p w:rsidR="005941C1" w:rsidRPr="00985EBC" w:rsidRDefault="005941C1" w:rsidP="00D669F3">
      <w:pPr>
        <w:jc w:val="left"/>
        <w:rPr>
          <w:rFonts w:asciiTheme="majorHAnsi" w:hAnsiTheme="majorHAnsi"/>
          <w:sz w:val="24"/>
          <w:szCs w:val="24"/>
          <w:lang w:val="ro-RO"/>
        </w:rPr>
      </w:pPr>
    </w:p>
    <w:p w:rsidR="007515C1" w:rsidRPr="00985EBC" w:rsidRDefault="007515C1" w:rsidP="008A4D03">
      <w:pPr>
        <w:rPr>
          <w:rFonts w:asciiTheme="majorHAnsi" w:hAnsiTheme="majorHAnsi"/>
          <w:sz w:val="24"/>
          <w:szCs w:val="24"/>
          <w:lang w:val="ro-RO"/>
        </w:rPr>
      </w:pPr>
      <w:r w:rsidRPr="00985EBC">
        <w:rPr>
          <w:rFonts w:asciiTheme="majorHAnsi" w:hAnsiTheme="majorHAnsi"/>
          <w:sz w:val="24"/>
          <w:szCs w:val="24"/>
          <w:lang w:val="ro-RO"/>
        </w:rPr>
        <w:t>Astfel, cele mai multe proiecte de legi au fost înregistrate în domeniul „Justiţie şi afaceri interne, drepturile şi libertăţile omului” – 35, ceea ce constituie 46,67%.  Această pondere importantă a proiectelor de legi în domeniul „Justiţie şi afaceri interne, drepturile şi libertăţile omului” se explică prin faptul că perioada expertizării proiectelor de legi din perspectiva drepturilor omului a coincis cu perioada modificării cadrului legal, generată de reforma justiţiei şi a organelor de drept.</w:t>
      </w:r>
    </w:p>
    <w:p w:rsidR="007515C1" w:rsidRPr="00985EBC" w:rsidRDefault="007515C1" w:rsidP="00D669F3">
      <w:pPr>
        <w:jc w:val="left"/>
        <w:rPr>
          <w:rFonts w:asciiTheme="majorHAnsi" w:hAnsiTheme="majorHAnsi"/>
          <w:sz w:val="24"/>
          <w:szCs w:val="24"/>
          <w:lang w:val="ro-RO"/>
        </w:rPr>
      </w:pPr>
    </w:p>
    <w:p w:rsidR="007515C1" w:rsidRPr="00985EBC" w:rsidRDefault="007515C1" w:rsidP="007515C1">
      <w:pPr>
        <w:rPr>
          <w:rFonts w:asciiTheme="majorHAnsi" w:hAnsiTheme="majorHAnsi"/>
          <w:sz w:val="24"/>
          <w:szCs w:val="24"/>
          <w:lang w:val="ro-RO"/>
        </w:rPr>
      </w:pPr>
      <w:r w:rsidRPr="00985EBC">
        <w:rPr>
          <w:rFonts w:asciiTheme="majorHAnsi" w:hAnsiTheme="majorHAnsi"/>
          <w:sz w:val="24"/>
          <w:szCs w:val="24"/>
          <w:lang w:val="ro-RO"/>
        </w:rPr>
        <w:t>Din figura</w:t>
      </w:r>
      <w:r w:rsidR="00102BF8" w:rsidRPr="00985EBC">
        <w:rPr>
          <w:rFonts w:asciiTheme="majorHAnsi" w:hAnsiTheme="majorHAnsi"/>
          <w:sz w:val="24"/>
          <w:szCs w:val="24"/>
          <w:lang w:val="ro-RO"/>
        </w:rPr>
        <w:t xml:space="preserve"> 1</w:t>
      </w:r>
      <w:r w:rsidRPr="00985EBC">
        <w:rPr>
          <w:rFonts w:asciiTheme="majorHAnsi" w:hAnsiTheme="majorHAnsi"/>
          <w:sz w:val="24"/>
          <w:szCs w:val="24"/>
          <w:lang w:val="ro-RO"/>
        </w:rPr>
        <w:t xml:space="preserve"> observăm, că domeniul „Justiţie şi afaceri interne, drepturile şi libertăţile omului”, din punct de vedere al ponderii proiectelor de legi expertizate după domenii de reglementare, este urmat de domeniul „Legislaţia muncii, asigurarea socială şi ocrotirea sănătăţii” cu 17 proiecte de legi, ceea ce constituie 22,67% şi domeniul „Economie şi comerţ” cu 11 proiecte de legi, respectiv 14,67%. Cea mai mică pondere au înregistrat-o domeniile  „Buget şi finanţe” şi  „Educaţie, cultură, culte şi mass-media” – cîte 6 proiecte de legi sau 8% din totalul proiectelor expertizate.</w:t>
      </w:r>
    </w:p>
    <w:p w:rsidR="007515C1" w:rsidRDefault="007515C1" w:rsidP="00D669F3">
      <w:pPr>
        <w:jc w:val="left"/>
        <w:rPr>
          <w:rFonts w:asciiTheme="majorHAnsi" w:hAnsiTheme="majorHAnsi"/>
          <w:sz w:val="24"/>
          <w:szCs w:val="24"/>
          <w:lang w:val="ro-RO"/>
        </w:rPr>
      </w:pPr>
    </w:p>
    <w:p w:rsidR="00851FE5" w:rsidRDefault="00851FE5" w:rsidP="00D669F3">
      <w:pPr>
        <w:jc w:val="left"/>
        <w:rPr>
          <w:rFonts w:asciiTheme="majorHAnsi" w:hAnsiTheme="majorHAnsi"/>
          <w:sz w:val="24"/>
          <w:szCs w:val="24"/>
          <w:lang w:val="ro-RO"/>
        </w:rPr>
      </w:pPr>
    </w:p>
    <w:p w:rsidR="00851FE5" w:rsidRPr="00985EBC" w:rsidRDefault="00851FE5" w:rsidP="00D669F3">
      <w:pPr>
        <w:jc w:val="left"/>
        <w:rPr>
          <w:rFonts w:asciiTheme="majorHAnsi" w:hAnsiTheme="majorHAnsi"/>
          <w:sz w:val="24"/>
          <w:szCs w:val="24"/>
          <w:lang w:val="ro-RO"/>
        </w:rPr>
      </w:pPr>
    </w:p>
    <w:p w:rsidR="005941C1" w:rsidRPr="00985EBC" w:rsidRDefault="00B12102" w:rsidP="00B12102">
      <w:pPr>
        <w:jc w:val="left"/>
        <w:rPr>
          <w:rFonts w:asciiTheme="majorHAnsi" w:eastAsia="Times New Roman" w:hAnsiTheme="majorHAnsi" w:cs="Times New Roman"/>
          <w:b/>
          <w:i/>
          <w:sz w:val="16"/>
          <w:szCs w:val="16"/>
          <w:lang w:val="ro-RO" w:eastAsia="ru-RU"/>
        </w:rPr>
      </w:pPr>
      <w:r w:rsidRPr="00985EBC">
        <w:rPr>
          <w:rFonts w:asciiTheme="majorHAnsi" w:eastAsia="Times New Roman" w:hAnsiTheme="majorHAnsi" w:cs="Times New Roman"/>
          <w:b/>
          <w:i/>
          <w:sz w:val="16"/>
          <w:szCs w:val="16"/>
          <w:lang w:val="ro-RO" w:eastAsia="ru-RU"/>
        </w:rPr>
        <w:t>Figura</w:t>
      </w:r>
      <w:r w:rsidR="00102BF8" w:rsidRPr="00985EBC">
        <w:rPr>
          <w:rFonts w:asciiTheme="majorHAnsi" w:eastAsia="Times New Roman" w:hAnsiTheme="majorHAnsi" w:cs="Times New Roman"/>
          <w:b/>
          <w:i/>
          <w:sz w:val="16"/>
          <w:szCs w:val="16"/>
          <w:lang w:val="ro-RO" w:eastAsia="ru-RU"/>
        </w:rPr>
        <w:t xml:space="preserve"> 1.</w:t>
      </w:r>
      <w:r w:rsidRPr="00985EBC">
        <w:rPr>
          <w:rFonts w:asciiTheme="majorHAnsi" w:eastAsia="Times New Roman" w:hAnsiTheme="majorHAnsi" w:cs="Times New Roman"/>
          <w:b/>
          <w:i/>
          <w:sz w:val="16"/>
          <w:szCs w:val="16"/>
          <w:lang w:val="ro-RO" w:eastAsia="ru-RU"/>
        </w:rPr>
        <w:t xml:space="preserve"> </w:t>
      </w:r>
      <w:r w:rsidR="00D669F3" w:rsidRPr="00985EBC">
        <w:rPr>
          <w:rFonts w:asciiTheme="majorHAnsi" w:eastAsia="Times New Roman" w:hAnsiTheme="majorHAnsi" w:cs="Times New Roman"/>
          <w:i/>
          <w:sz w:val="16"/>
          <w:szCs w:val="16"/>
          <w:lang w:val="ro-RO" w:eastAsia="ru-RU"/>
        </w:rPr>
        <w:t xml:space="preserve">Distribuţia proiectelor </w:t>
      </w:r>
      <w:r w:rsidR="008E402B" w:rsidRPr="00985EBC">
        <w:rPr>
          <w:rFonts w:asciiTheme="majorHAnsi" w:eastAsia="Times New Roman" w:hAnsiTheme="majorHAnsi" w:cs="Times New Roman"/>
          <w:i/>
          <w:sz w:val="16"/>
          <w:szCs w:val="16"/>
          <w:lang w:val="ro-RO" w:eastAsia="ru-RU"/>
        </w:rPr>
        <w:t xml:space="preserve">după </w:t>
      </w:r>
      <w:r w:rsidR="00D669F3" w:rsidRPr="00985EBC">
        <w:rPr>
          <w:rFonts w:asciiTheme="majorHAnsi" w:eastAsia="Times New Roman" w:hAnsiTheme="majorHAnsi" w:cs="Times New Roman"/>
          <w:i/>
          <w:sz w:val="16"/>
          <w:szCs w:val="16"/>
          <w:lang w:val="ro-RO" w:eastAsia="ru-RU"/>
        </w:rPr>
        <w:t xml:space="preserve"> domeniil</w:t>
      </w:r>
      <w:r w:rsidR="008E402B" w:rsidRPr="00985EBC">
        <w:rPr>
          <w:rFonts w:asciiTheme="majorHAnsi" w:eastAsia="Times New Roman" w:hAnsiTheme="majorHAnsi" w:cs="Times New Roman"/>
          <w:i/>
          <w:sz w:val="16"/>
          <w:szCs w:val="16"/>
          <w:lang w:val="ro-RO" w:eastAsia="ru-RU"/>
        </w:rPr>
        <w:t>e</w:t>
      </w:r>
      <w:r w:rsidR="00D669F3" w:rsidRPr="00985EBC">
        <w:rPr>
          <w:rFonts w:asciiTheme="majorHAnsi" w:eastAsia="Times New Roman" w:hAnsiTheme="majorHAnsi" w:cs="Times New Roman"/>
          <w:i/>
          <w:sz w:val="16"/>
          <w:szCs w:val="16"/>
          <w:lang w:val="ro-RO" w:eastAsia="ru-RU"/>
        </w:rPr>
        <w:t xml:space="preserve"> de expertiză</w:t>
      </w:r>
    </w:p>
    <w:p w:rsidR="005941C1" w:rsidRPr="00985EBC" w:rsidRDefault="0089579F" w:rsidP="00343F61">
      <w:pPr>
        <w:jc w:val="center"/>
        <w:rPr>
          <w:rFonts w:asciiTheme="majorHAnsi" w:eastAsia="Times New Roman" w:hAnsiTheme="majorHAnsi" w:cs="Times New Roman"/>
          <w:sz w:val="16"/>
          <w:szCs w:val="16"/>
          <w:lang w:val="ro-RO" w:eastAsia="ru-RU"/>
        </w:rPr>
      </w:pPr>
      <w:r w:rsidRPr="00985EBC">
        <w:rPr>
          <w:rFonts w:asciiTheme="majorHAnsi" w:eastAsia="Times New Roman" w:hAnsiTheme="majorHAnsi" w:cs="Times New Roman"/>
          <w:noProof/>
          <w:sz w:val="16"/>
          <w:szCs w:val="16"/>
          <w:lang w:eastAsia="ru-RU"/>
        </w:rPr>
        <w:lastRenderedPageBreak/>
        <w:drawing>
          <wp:inline distT="0" distB="0" distL="0" distR="0">
            <wp:extent cx="5895975" cy="2657475"/>
            <wp:effectExtent l="76200" t="3810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6AC8" w:rsidRPr="00985EBC" w:rsidRDefault="006A6AC8">
      <w:pPr>
        <w:rPr>
          <w:lang w:val="ro-RO"/>
        </w:rPr>
      </w:pPr>
    </w:p>
    <w:p w:rsidR="006A6AC8" w:rsidRPr="00985EBC" w:rsidRDefault="008A4D03">
      <w:pPr>
        <w:rPr>
          <w:rFonts w:asciiTheme="majorHAnsi" w:hAnsiTheme="majorHAnsi"/>
          <w:sz w:val="24"/>
          <w:szCs w:val="24"/>
          <w:lang w:val="ro-RO"/>
        </w:rPr>
      </w:pPr>
      <w:r w:rsidRPr="00985EBC">
        <w:rPr>
          <w:rFonts w:asciiTheme="majorHAnsi" w:hAnsiTheme="majorHAnsi"/>
          <w:sz w:val="24"/>
          <w:szCs w:val="24"/>
          <w:lang w:val="ro-RO"/>
        </w:rPr>
        <w:t xml:space="preserve">Rînduirea proiectelor de legi expertizate pe domenii a permis </w:t>
      </w:r>
      <w:r w:rsidR="00C5076D" w:rsidRPr="00985EBC">
        <w:rPr>
          <w:rFonts w:asciiTheme="majorHAnsi" w:hAnsiTheme="majorHAnsi"/>
          <w:sz w:val="24"/>
          <w:szCs w:val="24"/>
          <w:lang w:val="ro-RO"/>
        </w:rPr>
        <w:t xml:space="preserve">evidenţierea actelor legislative, care sunt frecvent modificate şi/sau completate. Trebuie să constatăm,  </w:t>
      </w:r>
      <w:r w:rsidR="001214FC">
        <w:rPr>
          <w:rFonts w:asciiTheme="majorHAnsi" w:hAnsiTheme="majorHAnsi"/>
          <w:sz w:val="24"/>
          <w:szCs w:val="24"/>
          <w:lang w:val="ro-RO"/>
        </w:rPr>
        <w:t xml:space="preserve">că </w:t>
      </w:r>
      <w:r w:rsidR="00C5076D" w:rsidRPr="00985EBC">
        <w:rPr>
          <w:rFonts w:asciiTheme="majorHAnsi" w:hAnsiTheme="majorHAnsi"/>
          <w:sz w:val="24"/>
          <w:szCs w:val="24"/>
          <w:lang w:val="ro-RO"/>
        </w:rPr>
        <w:t>legislaţia din domeniul „Justiţie şi afaceri interne, drepturile şi libertăţile omului”, în perioada iunie 2013 – decembrie 2014, a fost cel mai frecvent modificată. În tabelul de mai jos sunt prezentate actele legislative din domeniul „Justiţie şi afaceri interne, drepturile şi libertăţile omului”, expertizate de CAPC în perioada de referinţă şi numărul de legi de modificare/completare a actului legislativ respectiv, adoptate de Parlament.</w:t>
      </w:r>
    </w:p>
    <w:p w:rsidR="008A4D03" w:rsidRPr="00985EBC" w:rsidRDefault="008A4D03">
      <w:pPr>
        <w:rPr>
          <w:sz w:val="24"/>
          <w:szCs w:val="24"/>
          <w:lang w:val="ro-RO"/>
        </w:rPr>
      </w:pPr>
    </w:p>
    <w:tbl>
      <w:tblPr>
        <w:tblStyle w:val="TableGrid"/>
        <w:tblW w:w="0" w:type="auto"/>
        <w:tblLook w:val="04A0"/>
      </w:tblPr>
      <w:tblGrid>
        <w:gridCol w:w="399"/>
        <w:gridCol w:w="4388"/>
        <w:gridCol w:w="2392"/>
        <w:gridCol w:w="2392"/>
      </w:tblGrid>
      <w:tr w:rsidR="00C63C3A" w:rsidRPr="007139C9" w:rsidTr="00B831F3">
        <w:tc>
          <w:tcPr>
            <w:tcW w:w="392" w:type="dxa"/>
            <w:vMerge w:val="restart"/>
            <w:shd w:val="clear" w:color="auto" w:fill="95B3D7" w:themeFill="accent1" w:themeFillTint="99"/>
          </w:tcPr>
          <w:p w:rsidR="00C63C3A" w:rsidRPr="00985EBC" w:rsidRDefault="00C63C3A">
            <w:pPr>
              <w:rPr>
                <w:lang w:val="ro-RO"/>
              </w:rPr>
            </w:pPr>
          </w:p>
        </w:tc>
        <w:tc>
          <w:tcPr>
            <w:tcW w:w="4393" w:type="dxa"/>
            <w:vMerge w:val="restart"/>
            <w:shd w:val="clear" w:color="auto" w:fill="95B3D7" w:themeFill="accent1" w:themeFillTint="99"/>
          </w:tcPr>
          <w:p w:rsidR="00C63C3A" w:rsidRPr="00985EBC" w:rsidRDefault="00C63C3A" w:rsidP="00C5076D">
            <w:pPr>
              <w:jc w:val="center"/>
              <w:rPr>
                <w:rFonts w:asciiTheme="majorHAnsi" w:hAnsiTheme="majorHAnsi"/>
                <w:b/>
                <w:sz w:val="16"/>
                <w:szCs w:val="16"/>
                <w:lang w:val="ro-RO"/>
              </w:rPr>
            </w:pPr>
            <w:r w:rsidRPr="00985EBC">
              <w:rPr>
                <w:rFonts w:asciiTheme="majorHAnsi" w:hAnsiTheme="majorHAnsi"/>
                <w:b/>
                <w:sz w:val="16"/>
                <w:szCs w:val="16"/>
                <w:lang w:val="ro-RO"/>
              </w:rPr>
              <w:t>Denumirea actului legislativ</w:t>
            </w:r>
          </w:p>
        </w:tc>
        <w:tc>
          <w:tcPr>
            <w:tcW w:w="4786" w:type="dxa"/>
            <w:gridSpan w:val="2"/>
            <w:tcBorders>
              <w:bottom w:val="single" w:sz="4" w:space="0" w:color="auto"/>
            </w:tcBorders>
            <w:shd w:val="clear" w:color="auto" w:fill="95B3D7" w:themeFill="accent1" w:themeFillTint="99"/>
          </w:tcPr>
          <w:p w:rsidR="00C63C3A" w:rsidRPr="00985EBC" w:rsidRDefault="00C63C3A" w:rsidP="00C5076D">
            <w:pPr>
              <w:jc w:val="center"/>
              <w:rPr>
                <w:rFonts w:asciiTheme="majorHAnsi" w:hAnsiTheme="majorHAnsi"/>
                <w:b/>
                <w:sz w:val="16"/>
                <w:szCs w:val="16"/>
                <w:lang w:val="ro-RO"/>
              </w:rPr>
            </w:pPr>
            <w:r w:rsidRPr="00985EBC">
              <w:rPr>
                <w:rFonts w:asciiTheme="majorHAnsi" w:hAnsiTheme="majorHAnsi"/>
                <w:b/>
                <w:sz w:val="16"/>
                <w:szCs w:val="16"/>
                <w:lang w:val="ro-RO"/>
              </w:rPr>
              <w:t>Aceste date statistice se refă la perioada iunie 2013 –decembrie</w:t>
            </w:r>
          </w:p>
        </w:tc>
      </w:tr>
      <w:tr w:rsidR="00C63C3A" w:rsidRPr="007139C9" w:rsidTr="00B831F3">
        <w:tc>
          <w:tcPr>
            <w:tcW w:w="392" w:type="dxa"/>
            <w:vMerge/>
          </w:tcPr>
          <w:p w:rsidR="00C63C3A" w:rsidRPr="00985EBC" w:rsidRDefault="00C63C3A">
            <w:pPr>
              <w:rPr>
                <w:lang w:val="ro-RO"/>
              </w:rPr>
            </w:pPr>
          </w:p>
        </w:tc>
        <w:tc>
          <w:tcPr>
            <w:tcW w:w="4393" w:type="dxa"/>
            <w:vMerge/>
          </w:tcPr>
          <w:p w:rsidR="00C63C3A" w:rsidRPr="00985EBC" w:rsidRDefault="00C63C3A">
            <w:pPr>
              <w:rPr>
                <w:lang w:val="ro-RO"/>
              </w:rPr>
            </w:pPr>
          </w:p>
        </w:tc>
        <w:tc>
          <w:tcPr>
            <w:tcW w:w="2393" w:type="dxa"/>
            <w:shd w:val="clear" w:color="auto" w:fill="B8CCE4" w:themeFill="accent1" w:themeFillTint="66"/>
          </w:tcPr>
          <w:p w:rsidR="00C63C3A" w:rsidRPr="00985EBC" w:rsidRDefault="00C63C3A" w:rsidP="002867DF">
            <w:pPr>
              <w:jc w:val="center"/>
              <w:rPr>
                <w:rFonts w:asciiTheme="majorHAnsi" w:hAnsiTheme="majorHAnsi"/>
                <w:b/>
                <w:sz w:val="16"/>
                <w:szCs w:val="16"/>
                <w:lang w:val="ro-RO"/>
              </w:rPr>
            </w:pPr>
            <w:r w:rsidRPr="00985EBC">
              <w:rPr>
                <w:rFonts w:asciiTheme="majorHAnsi" w:hAnsiTheme="majorHAnsi"/>
                <w:b/>
                <w:sz w:val="16"/>
                <w:szCs w:val="16"/>
                <w:lang w:val="ro-RO"/>
              </w:rPr>
              <w:t>Nr. de proiecte de legi de modificare/completare a actului legislativ, expertizate de CAPC</w:t>
            </w:r>
          </w:p>
        </w:tc>
        <w:tc>
          <w:tcPr>
            <w:tcW w:w="2393" w:type="dxa"/>
            <w:shd w:val="clear" w:color="auto" w:fill="B8CCE4" w:themeFill="accent1" w:themeFillTint="66"/>
          </w:tcPr>
          <w:p w:rsidR="00C63C3A" w:rsidRPr="00985EBC" w:rsidRDefault="00C63C3A" w:rsidP="002867DF">
            <w:pPr>
              <w:jc w:val="center"/>
              <w:rPr>
                <w:rFonts w:asciiTheme="majorHAnsi" w:hAnsiTheme="majorHAnsi"/>
                <w:b/>
                <w:sz w:val="16"/>
                <w:szCs w:val="16"/>
                <w:lang w:val="ro-RO"/>
              </w:rPr>
            </w:pPr>
            <w:r w:rsidRPr="00985EBC">
              <w:rPr>
                <w:rFonts w:asciiTheme="majorHAnsi" w:hAnsiTheme="majorHAnsi"/>
                <w:b/>
                <w:sz w:val="16"/>
                <w:szCs w:val="16"/>
                <w:lang w:val="ro-RO"/>
              </w:rPr>
              <w:t>Nr. de legi de modificare/completare a actului legislativ, adoptate de Parlament</w:t>
            </w:r>
          </w:p>
        </w:tc>
      </w:tr>
      <w:tr w:rsidR="00C63C3A" w:rsidRPr="00985EBC" w:rsidTr="00C63C3A">
        <w:tc>
          <w:tcPr>
            <w:tcW w:w="392" w:type="dxa"/>
          </w:tcPr>
          <w:p w:rsidR="00C63C3A" w:rsidRPr="00985EBC" w:rsidRDefault="002867DF">
            <w:pPr>
              <w:rPr>
                <w:rFonts w:asciiTheme="majorHAnsi" w:hAnsiTheme="majorHAnsi"/>
                <w:sz w:val="24"/>
                <w:szCs w:val="24"/>
                <w:lang w:val="ro-RO"/>
              </w:rPr>
            </w:pPr>
            <w:r w:rsidRPr="00985EBC">
              <w:rPr>
                <w:rFonts w:asciiTheme="majorHAnsi" w:hAnsiTheme="majorHAnsi"/>
                <w:sz w:val="24"/>
                <w:szCs w:val="24"/>
                <w:lang w:val="ro-RO"/>
              </w:rPr>
              <w:t>1.</w:t>
            </w:r>
          </w:p>
        </w:tc>
        <w:tc>
          <w:tcPr>
            <w:tcW w:w="4393" w:type="dxa"/>
          </w:tcPr>
          <w:p w:rsidR="00C63C3A" w:rsidRPr="00985EBC" w:rsidRDefault="002867DF">
            <w:pPr>
              <w:rPr>
                <w:rFonts w:asciiTheme="majorHAnsi" w:hAnsiTheme="majorHAnsi"/>
                <w:sz w:val="24"/>
                <w:szCs w:val="24"/>
                <w:lang w:val="ro-RO"/>
              </w:rPr>
            </w:pPr>
            <w:r w:rsidRPr="00985EBC">
              <w:rPr>
                <w:rFonts w:asciiTheme="majorHAnsi" w:hAnsiTheme="majorHAnsi"/>
                <w:sz w:val="24"/>
                <w:szCs w:val="24"/>
                <w:lang w:val="ro-RO"/>
              </w:rPr>
              <w:t>Codul penal</w:t>
            </w:r>
          </w:p>
        </w:tc>
        <w:tc>
          <w:tcPr>
            <w:tcW w:w="2393" w:type="dxa"/>
          </w:tcPr>
          <w:p w:rsidR="00C63C3A" w:rsidRPr="00985EBC" w:rsidRDefault="002867DF" w:rsidP="002867DF">
            <w:pPr>
              <w:jc w:val="center"/>
              <w:rPr>
                <w:rFonts w:asciiTheme="majorHAnsi" w:hAnsiTheme="majorHAnsi"/>
                <w:sz w:val="24"/>
                <w:szCs w:val="24"/>
                <w:lang w:val="ro-RO"/>
              </w:rPr>
            </w:pPr>
            <w:r w:rsidRPr="00985EBC">
              <w:rPr>
                <w:rFonts w:asciiTheme="majorHAnsi" w:hAnsiTheme="majorHAnsi"/>
                <w:sz w:val="24"/>
                <w:szCs w:val="24"/>
                <w:lang w:val="ro-RO"/>
              </w:rPr>
              <w:t>5</w:t>
            </w:r>
          </w:p>
        </w:tc>
        <w:tc>
          <w:tcPr>
            <w:tcW w:w="2393" w:type="dxa"/>
          </w:tcPr>
          <w:p w:rsidR="00C63C3A" w:rsidRPr="00985EBC" w:rsidRDefault="002867DF" w:rsidP="002867DF">
            <w:pPr>
              <w:jc w:val="center"/>
              <w:rPr>
                <w:rFonts w:asciiTheme="majorHAnsi" w:hAnsiTheme="majorHAnsi"/>
                <w:sz w:val="24"/>
                <w:szCs w:val="24"/>
                <w:lang w:val="ro-RO"/>
              </w:rPr>
            </w:pPr>
            <w:r w:rsidRPr="00985EBC">
              <w:rPr>
                <w:rFonts w:asciiTheme="majorHAnsi" w:hAnsiTheme="majorHAnsi"/>
                <w:sz w:val="24"/>
                <w:szCs w:val="24"/>
                <w:lang w:val="ro-RO"/>
              </w:rPr>
              <w:t>10</w:t>
            </w:r>
          </w:p>
        </w:tc>
      </w:tr>
      <w:tr w:rsidR="002867DF" w:rsidRPr="00985EBC" w:rsidTr="00C63C3A">
        <w:tc>
          <w:tcPr>
            <w:tcW w:w="392" w:type="dxa"/>
          </w:tcPr>
          <w:p w:rsidR="002867DF" w:rsidRPr="00985EBC" w:rsidRDefault="002867DF">
            <w:pPr>
              <w:rPr>
                <w:rFonts w:asciiTheme="majorHAnsi" w:hAnsiTheme="majorHAnsi"/>
                <w:sz w:val="24"/>
                <w:szCs w:val="24"/>
                <w:lang w:val="ro-RO"/>
              </w:rPr>
            </w:pPr>
            <w:r w:rsidRPr="00985EBC">
              <w:rPr>
                <w:rFonts w:asciiTheme="majorHAnsi" w:hAnsiTheme="majorHAnsi"/>
                <w:sz w:val="24"/>
                <w:szCs w:val="24"/>
                <w:lang w:val="ro-RO"/>
              </w:rPr>
              <w:t>2.</w:t>
            </w:r>
          </w:p>
        </w:tc>
        <w:tc>
          <w:tcPr>
            <w:tcW w:w="4393" w:type="dxa"/>
          </w:tcPr>
          <w:p w:rsidR="002867DF" w:rsidRPr="00985EBC" w:rsidRDefault="002867DF">
            <w:pPr>
              <w:rPr>
                <w:rFonts w:asciiTheme="majorHAnsi" w:hAnsiTheme="majorHAnsi"/>
                <w:sz w:val="24"/>
                <w:szCs w:val="24"/>
                <w:lang w:val="ro-RO"/>
              </w:rPr>
            </w:pPr>
            <w:r w:rsidRPr="00985EBC">
              <w:rPr>
                <w:rFonts w:asciiTheme="majorHAnsi" w:hAnsiTheme="majorHAnsi"/>
                <w:sz w:val="24"/>
                <w:szCs w:val="24"/>
                <w:lang w:val="ro-RO"/>
              </w:rPr>
              <w:t>Codul de procedură penală</w:t>
            </w:r>
          </w:p>
        </w:tc>
        <w:tc>
          <w:tcPr>
            <w:tcW w:w="2393" w:type="dxa"/>
          </w:tcPr>
          <w:p w:rsidR="002867DF" w:rsidRPr="00985EBC" w:rsidRDefault="002867DF" w:rsidP="002867DF">
            <w:pPr>
              <w:jc w:val="center"/>
              <w:rPr>
                <w:rFonts w:asciiTheme="majorHAnsi" w:hAnsiTheme="majorHAnsi"/>
                <w:sz w:val="24"/>
                <w:szCs w:val="24"/>
                <w:lang w:val="ro-RO"/>
              </w:rPr>
            </w:pPr>
            <w:r w:rsidRPr="00985EBC">
              <w:rPr>
                <w:rFonts w:asciiTheme="majorHAnsi" w:hAnsiTheme="majorHAnsi"/>
                <w:sz w:val="24"/>
                <w:szCs w:val="24"/>
                <w:lang w:val="ro-RO"/>
              </w:rPr>
              <w:t>4</w:t>
            </w:r>
          </w:p>
        </w:tc>
        <w:tc>
          <w:tcPr>
            <w:tcW w:w="2393" w:type="dxa"/>
          </w:tcPr>
          <w:p w:rsidR="002867DF" w:rsidRPr="00985EBC" w:rsidRDefault="002867DF" w:rsidP="002867DF">
            <w:pPr>
              <w:jc w:val="center"/>
              <w:rPr>
                <w:rFonts w:asciiTheme="majorHAnsi" w:hAnsiTheme="majorHAnsi"/>
                <w:sz w:val="24"/>
                <w:szCs w:val="24"/>
                <w:lang w:val="ro-RO"/>
              </w:rPr>
            </w:pPr>
            <w:r w:rsidRPr="00985EBC">
              <w:rPr>
                <w:rFonts w:asciiTheme="majorHAnsi" w:hAnsiTheme="majorHAnsi"/>
                <w:sz w:val="24"/>
                <w:szCs w:val="24"/>
                <w:lang w:val="ro-RO"/>
              </w:rPr>
              <w:t>5</w:t>
            </w:r>
          </w:p>
        </w:tc>
      </w:tr>
      <w:tr w:rsidR="002867DF" w:rsidRPr="00985EBC" w:rsidTr="00C63C3A">
        <w:tc>
          <w:tcPr>
            <w:tcW w:w="392" w:type="dxa"/>
          </w:tcPr>
          <w:p w:rsidR="002867DF" w:rsidRPr="00985EBC" w:rsidRDefault="002867DF">
            <w:pPr>
              <w:rPr>
                <w:rFonts w:asciiTheme="majorHAnsi" w:hAnsiTheme="majorHAnsi"/>
                <w:sz w:val="24"/>
                <w:szCs w:val="24"/>
                <w:lang w:val="ro-RO"/>
              </w:rPr>
            </w:pPr>
            <w:r w:rsidRPr="00985EBC">
              <w:rPr>
                <w:rFonts w:asciiTheme="majorHAnsi" w:hAnsiTheme="majorHAnsi"/>
                <w:sz w:val="24"/>
                <w:szCs w:val="24"/>
                <w:lang w:val="ro-RO"/>
              </w:rPr>
              <w:t>3.</w:t>
            </w:r>
          </w:p>
        </w:tc>
        <w:tc>
          <w:tcPr>
            <w:tcW w:w="4393" w:type="dxa"/>
          </w:tcPr>
          <w:p w:rsidR="002867DF" w:rsidRPr="00985EBC" w:rsidRDefault="002867DF">
            <w:pPr>
              <w:rPr>
                <w:rFonts w:asciiTheme="majorHAnsi" w:hAnsiTheme="majorHAnsi"/>
                <w:sz w:val="24"/>
                <w:szCs w:val="24"/>
                <w:lang w:val="ro-RO"/>
              </w:rPr>
            </w:pPr>
            <w:r w:rsidRPr="00985EBC">
              <w:rPr>
                <w:rFonts w:asciiTheme="majorHAnsi" w:hAnsiTheme="majorHAnsi"/>
                <w:sz w:val="24"/>
                <w:szCs w:val="24"/>
                <w:lang w:val="ro-RO"/>
              </w:rPr>
              <w:t>Codul contravenţional</w:t>
            </w:r>
          </w:p>
        </w:tc>
        <w:tc>
          <w:tcPr>
            <w:tcW w:w="2393" w:type="dxa"/>
          </w:tcPr>
          <w:p w:rsidR="002867DF" w:rsidRPr="00985EBC" w:rsidRDefault="002867DF" w:rsidP="002867DF">
            <w:pPr>
              <w:jc w:val="center"/>
              <w:rPr>
                <w:rFonts w:asciiTheme="majorHAnsi" w:hAnsiTheme="majorHAnsi"/>
                <w:sz w:val="24"/>
                <w:szCs w:val="24"/>
                <w:lang w:val="ro-RO"/>
              </w:rPr>
            </w:pPr>
            <w:r w:rsidRPr="00985EBC">
              <w:rPr>
                <w:rFonts w:asciiTheme="majorHAnsi" w:hAnsiTheme="majorHAnsi"/>
                <w:sz w:val="24"/>
                <w:szCs w:val="24"/>
                <w:lang w:val="ro-RO"/>
              </w:rPr>
              <w:t>3</w:t>
            </w:r>
          </w:p>
        </w:tc>
        <w:tc>
          <w:tcPr>
            <w:tcW w:w="2393" w:type="dxa"/>
          </w:tcPr>
          <w:p w:rsidR="002867DF" w:rsidRPr="00985EBC" w:rsidRDefault="002867DF" w:rsidP="002867DF">
            <w:pPr>
              <w:jc w:val="center"/>
              <w:rPr>
                <w:rFonts w:asciiTheme="majorHAnsi" w:hAnsiTheme="majorHAnsi"/>
                <w:sz w:val="24"/>
                <w:szCs w:val="24"/>
                <w:lang w:val="ro-RO"/>
              </w:rPr>
            </w:pPr>
            <w:r w:rsidRPr="00985EBC">
              <w:rPr>
                <w:rFonts w:asciiTheme="majorHAnsi" w:hAnsiTheme="majorHAnsi"/>
                <w:sz w:val="24"/>
                <w:szCs w:val="24"/>
                <w:lang w:val="ro-RO"/>
              </w:rPr>
              <w:t>27</w:t>
            </w:r>
          </w:p>
        </w:tc>
      </w:tr>
      <w:tr w:rsidR="002867DF" w:rsidRPr="00985EBC" w:rsidTr="00C63C3A">
        <w:tc>
          <w:tcPr>
            <w:tcW w:w="392" w:type="dxa"/>
          </w:tcPr>
          <w:p w:rsidR="002867DF" w:rsidRPr="00985EBC" w:rsidRDefault="002867DF">
            <w:pPr>
              <w:rPr>
                <w:rFonts w:asciiTheme="majorHAnsi" w:hAnsiTheme="majorHAnsi"/>
                <w:sz w:val="24"/>
                <w:szCs w:val="24"/>
                <w:lang w:val="ro-RO"/>
              </w:rPr>
            </w:pPr>
            <w:r w:rsidRPr="00985EBC">
              <w:rPr>
                <w:rFonts w:asciiTheme="majorHAnsi" w:hAnsiTheme="majorHAnsi"/>
                <w:sz w:val="24"/>
                <w:szCs w:val="24"/>
                <w:lang w:val="ro-RO"/>
              </w:rPr>
              <w:t>4.</w:t>
            </w:r>
          </w:p>
        </w:tc>
        <w:tc>
          <w:tcPr>
            <w:tcW w:w="4393" w:type="dxa"/>
          </w:tcPr>
          <w:p w:rsidR="002867DF" w:rsidRPr="00985EBC" w:rsidRDefault="002867DF" w:rsidP="002867DF">
            <w:pPr>
              <w:rPr>
                <w:rFonts w:asciiTheme="majorHAnsi" w:hAnsiTheme="majorHAnsi"/>
                <w:sz w:val="24"/>
                <w:szCs w:val="24"/>
                <w:lang w:val="ro-RO"/>
              </w:rPr>
            </w:pPr>
            <w:r w:rsidRPr="00985EBC">
              <w:rPr>
                <w:rFonts w:asciiTheme="majorHAnsi" w:hAnsiTheme="majorHAnsi"/>
                <w:sz w:val="24"/>
                <w:szCs w:val="24"/>
                <w:lang w:val="ro-RO"/>
              </w:rPr>
              <w:t>Codul electoral</w:t>
            </w:r>
          </w:p>
        </w:tc>
        <w:tc>
          <w:tcPr>
            <w:tcW w:w="2393" w:type="dxa"/>
          </w:tcPr>
          <w:p w:rsidR="002867DF" w:rsidRPr="00985EBC" w:rsidRDefault="002867DF" w:rsidP="002867DF">
            <w:pPr>
              <w:jc w:val="center"/>
              <w:rPr>
                <w:rFonts w:asciiTheme="majorHAnsi" w:hAnsiTheme="majorHAnsi"/>
                <w:sz w:val="24"/>
                <w:szCs w:val="24"/>
                <w:lang w:val="ro-RO"/>
              </w:rPr>
            </w:pPr>
            <w:r w:rsidRPr="00985EBC">
              <w:rPr>
                <w:rFonts w:asciiTheme="majorHAnsi" w:hAnsiTheme="majorHAnsi"/>
                <w:sz w:val="24"/>
                <w:szCs w:val="24"/>
                <w:lang w:val="ro-RO"/>
              </w:rPr>
              <w:t>3</w:t>
            </w:r>
          </w:p>
        </w:tc>
        <w:tc>
          <w:tcPr>
            <w:tcW w:w="2393" w:type="dxa"/>
          </w:tcPr>
          <w:p w:rsidR="002867DF" w:rsidRPr="00985EBC" w:rsidRDefault="002867DF" w:rsidP="002867DF">
            <w:pPr>
              <w:jc w:val="center"/>
              <w:rPr>
                <w:rFonts w:asciiTheme="majorHAnsi" w:hAnsiTheme="majorHAnsi"/>
                <w:sz w:val="24"/>
                <w:szCs w:val="24"/>
                <w:lang w:val="ro-RO"/>
              </w:rPr>
            </w:pPr>
            <w:r w:rsidRPr="00985EBC">
              <w:rPr>
                <w:rFonts w:asciiTheme="majorHAnsi" w:hAnsiTheme="majorHAnsi"/>
                <w:sz w:val="24"/>
                <w:szCs w:val="24"/>
                <w:lang w:val="ro-RO"/>
              </w:rPr>
              <w:t>4</w:t>
            </w:r>
          </w:p>
        </w:tc>
      </w:tr>
    </w:tbl>
    <w:p w:rsidR="00C5076D" w:rsidRPr="00985EBC" w:rsidRDefault="00C5076D">
      <w:pPr>
        <w:rPr>
          <w:rFonts w:asciiTheme="majorHAnsi" w:hAnsiTheme="majorHAnsi"/>
          <w:sz w:val="24"/>
          <w:szCs w:val="24"/>
          <w:lang w:val="ro-RO"/>
        </w:rPr>
      </w:pPr>
    </w:p>
    <w:p w:rsidR="002867DF" w:rsidRPr="00985EBC" w:rsidRDefault="002867DF">
      <w:pPr>
        <w:rPr>
          <w:rFonts w:asciiTheme="majorHAnsi" w:hAnsiTheme="majorHAnsi"/>
          <w:sz w:val="24"/>
          <w:szCs w:val="24"/>
          <w:lang w:val="ro-RO"/>
        </w:rPr>
      </w:pPr>
      <w:r w:rsidRPr="00985EBC">
        <w:rPr>
          <w:rFonts w:asciiTheme="majorHAnsi" w:hAnsiTheme="majorHAnsi"/>
          <w:sz w:val="24"/>
          <w:szCs w:val="24"/>
          <w:lang w:val="ro-RO"/>
        </w:rPr>
        <w:t xml:space="preserve">Observăm, că </w:t>
      </w:r>
      <w:r w:rsidR="00456A46" w:rsidRPr="00985EBC">
        <w:rPr>
          <w:rFonts w:asciiTheme="majorHAnsi" w:hAnsiTheme="majorHAnsi"/>
          <w:sz w:val="24"/>
          <w:szCs w:val="24"/>
          <w:lang w:val="ro-RO"/>
        </w:rPr>
        <w:t xml:space="preserve">în eşantionul de 77 de proiecte de legi expertizate, </w:t>
      </w:r>
      <w:r w:rsidRPr="00985EBC">
        <w:rPr>
          <w:rFonts w:asciiTheme="majorHAnsi" w:hAnsiTheme="majorHAnsi"/>
          <w:sz w:val="24"/>
          <w:szCs w:val="24"/>
          <w:lang w:val="ro-RO"/>
        </w:rPr>
        <w:t>cea mai înaltă rată de intervenţie legislativă a înregistrat-o Codul contravenţional, care pe parcursul unui an şi jumătate a fost modificat/completat tocmai de 27 de ori. Cu părere de rău, în ciuda diverselor critici aduse anterior autorităţilor publice privitor la procesul de creaţie legislativă, fenomenul „legislaţiei fluctuante” a devenit  constant şi se pare că autorităţile ignoră exigenţele Legii privind actele legislative.</w:t>
      </w:r>
    </w:p>
    <w:p w:rsidR="005941C1" w:rsidRPr="00B831F3" w:rsidRDefault="00356392" w:rsidP="007139C9">
      <w:pPr>
        <w:pStyle w:val="Heading1"/>
        <w:rPr>
          <w:lang w:val="ro-RO"/>
        </w:rPr>
      </w:pPr>
      <w:bookmarkStart w:id="12" w:name="_Toc409790619"/>
      <w:r w:rsidRPr="00B831F3">
        <w:rPr>
          <w:lang w:val="ro-RO"/>
        </w:rPr>
        <w:t xml:space="preserve">III.3 </w:t>
      </w:r>
      <w:r w:rsidR="00F56431" w:rsidRPr="00B831F3">
        <w:rPr>
          <w:lang w:val="ro-RO"/>
        </w:rPr>
        <w:t xml:space="preserve">Proiecte de acte normative vs. </w:t>
      </w:r>
      <w:r w:rsidR="00456A46" w:rsidRPr="00B831F3">
        <w:rPr>
          <w:lang w:val="ro-RO"/>
        </w:rPr>
        <w:t>tipul</w:t>
      </w:r>
      <w:r w:rsidR="005941C1" w:rsidRPr="00B831F3">
        <w:rPr>
          <w:lang w:val="ro-RO"/>
        </w:rPr>
        <w:t xml:space="preserve"> actului legislativ</w:t>
      </w:r>
      <w:bookmarkEnd w:id="12"/>
    </w:p>
    <w:p w:rsidR="0021675A" w:rsidRPr="00985EBC" w:rsidRDefault="0021675A">
      <w:pPr>
        <w:rPr>
          <w:lang w:val="ro-RO"/>
        </w:rPr>
      </w:pPr>
    </w:p>
    <w:p w:rsidR="008E402B" w:rsidRPr="00985EBC" w:rsidRDefault="00456A46">
      <w:pPr>
        <w:rPr>
          <w:rFonts w:asciiTheme="majorHAnsi" w:hAnsiTheme="majorHAnsi"/>
          <w:sz w:val="24"/>
          <w:szCs w:val="24"/>
          <w:lang w:val="ro-RO"/>
        </w:rPr>
      </w:pPr>
      <w:r w:rsidRPr="00985EBC">
        <w:rPr>
          <w:rFonts w:asciiTheme="majorHAnsi" w:hAnsiTheme="majorHAnsi"/>
          <w:sz w:val="24"/>
          <w:szCs w:val="24"/>
          <w:lang w:val="ro-RO"/>
        </w:rPr>
        <w:t>În dependenţă de tipul actului leg</w:t>
      </w:r>
      <w:r w:rsidR="00861E8E" w:rsidRPr="00985EBC">
        <w:rPr>
          <w:rFonts w:asciiTheme="majorHAnsi" w:hAnsiTheme="majorHAnsi"/>
          <w:sz w:val="24"/>
          <w:szCs w:val="24"/>
          <w:lang w:val="ro-RO"/>
        </w:rPr>
        <w:t>islativ vizat de proiect, CAPC a expertizat atît legi integrale</w:t>
      </w:r>
      <w:r w:rsidR="000B050A" w:rsidRPr="00985EBC">
        <w:rPr>
          <w:rFonts w:asciiTheme="majorHAnsi" w:hAnsiTheme="majorHAnsi"/>
          <w:sz w:val="24"/>
          <w:szCs w:val="24"/>
          <w:lang w:val="ro-RO"/>
        </w:rPr>
        <w:t>,</w:t>
      </w:r>
      <w:r w:rsidR="00861E8E" w:rsidRPr="00985EBC">
        <w:rPr>
          <w:rFonts w:asciiTheme="majorHAnsi" w:hAnsiTheme="majorHAnsi"/>
          <w:sz w:val="24"/>
          <w:szCs w:val="24"/>
          <w:lang w:val="ro-RO"/>
        </w:rPr>
        <w:t xml:space="preserve"> cît şi legi de modificare şi/sau completare a legilor.</w:t>
      </w:r>
    </w:p>
    <w:p w:rsidR="00861E8E" w:rsidRPr="00985EBC" w:rsidRDefault="00861E8E">
      <w:pPr>
        <w:rPr>
          <w:rFonts w:asciiTheme="majorHAnsi" w:hAnsiTheme="majorHAnsi"/>
          <w:sz w:val="24"/>
          <w:szCs w:val="24"/>
          <w:lang w:val="ro-RO"/>
        </w:rPr>
      </w:pPr>
    </w:p>
    <w:p w:rsidR="00861E8E" w:rsidRPr="00985EBC" w:rsidRDefault="00861E8E">
      <w:pPr>
        <w:rPr>
          <w:rFonts w:asciiTheme="majorHAnsi" w:hAnsiTheme="majorHAnsi"/>
          <w:lang w:val="ro-RO"/>
        </w:rPr>
      </w:pPr>
      <w:r w:rsidRPr="00985EBC">
        <w:rPr>
          <w:rFonts w:asciiTheme="majorHAnsi" w:hAnsiTheme="majorHAnsi"/>
          <w:sz w:val="24"/>
          <w:szCs w:val="24"/>
          <w:lang w:val="ro-RO"/>
        </w:rPr>
        <w:t>Din fi</w:t>
      </w:r>
      <w:r w:rsidR="00954552" w:rsidRPr="00985EBC">
        <w:rPr>
          <w:rFonts w:asciiTheme="majorHAnsi" w:hAnsiTheme="majorHAnsi"/>
          <w:sz w:val="24"/>
          <w:szCs w:val="24"/>
          <w:lang w:val="ro-RO"/>
        </w:rPr>
        <w:t>g</w:t>
      </w:r>
      <w:r w:rsidRPr="00985EBC">
        <w:rPr>
          <w:rFonts w:asciiTheme="majorHAnsi" w:hAnsiTheme="majorHAnsi"/>
          <w:sz w:val="24"/>
          <w:szCs w:val="24"/>
          <w:lang w:val="ro-RO"/>
        </w:rPr>
        <w:t xml:space="preserve">ura de mai jos, observăm că din cele 77 de proiecte </w:t>
      </w:r>
      <w:r w:rsidR="00C978B1" w:rsidRPr="00985EBC">
        <w:rPr>
          <w:rFonts w:asciiTheme="majorHAnsi" w:hAnsiTheme="majorHAnsi"/>
          <w:sz w:val="24"/>
          <w:szCs w:val="24"/>
          <w:lang w:val="ro-RO"/>
        </w:rPr>
        <w:t xml:space="preserve">de acte normative </w:t>
      </w:r>
      <w:r w:rsidRPr="00985EBC">
        <w:rPr>
          <w:rFonts w:asciiTheme="majorHAnsi" w:hAnsiTheme="majorHAnsi"/>
          <w:sz w:val="24"/>
          <w:szCs w:val="24"/>
          <w:lang w:val="ro-RO"/>
        </w:rPr>
        <w:t xml:space="preserve">expertizate, ponderea cea mai mare o au </w:t>
      </w:r>
      <w:r w:rsidRPr="00985EBC">
        <w:rPr>
          <w:rFonts w:asciiTheme="majorHAnsi" w:eastAsia="Times New Roman" w:hAnsiTheme="majorHAnsi" w:cs="Times New Roman"/>
          <w:sz w:val="24"/>
          <w:szCs w:val="24"/>
          <w:lang w:val="ro-RO" w:eastAsia="ru-RU"/>
        </w:rPr>
        <w:t xml:space="preserve">legile de modificare şi completare – 50 de legi, ceea ce </w:t>
      </w:r>
      <w:r w:rsidRPr="00985EBC">
        <w:rPr>
          <w:rFonts w:asciiTheme="majorHAnsi" w:eastAsia="Times New Roman" w:hAnsiTheme="majorHAnsi" w:cs="Times New Roman"/>
          <w:sz w:val="24"/>
          <w:szCs w:val="24"/>
          <w:lang w:val="ro-RO" w:eastAsia="ru-RU"/>
        </w:rPr>
        <w:lastRenderedPageBreak/>
        <w:t>constituie 64,94%, urmate de legile integrale – 24 de legi sau 31,17%.</w:t>
      </w:r>
      <w:r w:rsidR="00954552" w:rsidRPr="00985EBC">
        <w:rPr>
          <w:rFonts w:asciiTheme="majorHAnsi" w:eastAsia="Times New Roman" w:hAnsiTheme="majorHAnsi" w:cs="Times New Roman"/>
          <w:sz w:val="24"/>
          <w:szCs w:val="24"/>
          <w:lang w:val="ro-RO" w:eastAsia="ru-RU"/>
        </w:rPr>
        <w:t xml:space="preserve"> Ponderea legilor de modificare (2 sau 2,6%) şi a legilor de completare (1 sau 1,3%) este nesemnificativă. </w:t>
      </w:r>
    </w:p>
    <w:p w:rsidR="00456A46" w:rsidRPr="00985EBC" w:rsidRDefault="00456A46">
      <w:pPr>
        <w:rPr>
          <w:lang w:val="ro-RO"/>
        </w:rPr>
      </w:pPr>
    </w:p>
    <w:p w:rsidR="00102BF8" w:rsidRPr="00985EBC" w:rsidRDefault="00102BF8">
      <w:pPr>
        <w:rPr>
          <w:lang w:val="ro-RO"/>
        </w:rPr>
      </w:pPr>
    </w:p>
    <w:p w:rsidR="008E402B" w:rsidRDefault="008E402B" w:rsidP="008E402B">
      <w:pPr>
        <w:jc w:val="left"/>
        <w:rPr>
          <w:rFonts w:asciiTheme="majorHAnsi" w:eastAsia="Times New Roman" w:hAnsiTheme="majorHAnsi" w:cs="Times New Roman"/>
          <w:i/>
          <w:sz w:val="16"/>
          <w:szCs w:val="16"/>
          <w:lang w:val="ro-RO" w:eastAsia="ru-RU"/>
        </w:rPr>
      </w:pPr>
      <w:r w:rsidRPr="00985EBC">
        <w:rPr>
          <w:rFonts w:asciiTheme="majorHAnsi" w:eastAsia="Times New Roman" w:hAnsiTheme="majorHAnsi" w:cs="Times New Roman"/>
          <w:b/>
          <w:i/>
          <w:sz w:val="16"/>
          <w:szCs w:val="16"/>
          <w:lang w:val="ro-RO" w:eastAsia="ru-RU"/>
        </w:rPr>
        <w:t xml:space="preserve">Figura </w:t>
      </w:r>
      <w:r w:rsidR="000B050A" w:rsidRPr="00985EBC">
        <w:rPr>
          <w:rFonts w:asciiTheme="majorHAnsi" w:eastAsia="Times New Roman" w:hAnsiTheme="majorHAnsi" w:cs="Times New Roman"/>
          <w:b/>
          <w:i/>
          <w:sz w:val="16"/>
          <w:szCs w:val="16"/>
          <w:lang w:val="ro-RO" w:eastAsia="ru-RU"/>
        </w:rPr>
        <w:t>2</w:t>
      </w:r>
      <w:r w:rsidRPr="00985EBC">
        <w:rPr>
          <w:rFonts w:asciiTheme="majorHAnsi" w:eastAsia="Times New Roman" w:hAnsiTheme="majorHAnsi" w:cs="Times New Roman"/>
          <w:b/>
          <w:i/>
          <w:sz w:val="16"/>
          <w:szCs w:val="16"/>
          <w:lang w:val="ro-RO" w:eastAsia="ru-RU"/>
        </w:rPr>
        <w:t>.</w:t>
      </w:r>
      <w:r w:rsidR="000B050A" w:rsidRPr="00985EBC">
        <w:rPr>
          <w:rFonts w:asciiTheme="majorHAnsi" w:eastAsia="Times New Roman" w:hAnsiTheme="majorHAnsi" w:cs="Times New Roman"/>
          <w:b/>
          <w:i/>
          <w:sz w:val="16"/>
          <w:szCs w:val="16"/>
          <w:lang w:val="ro-RO" w:eastAsia="ru-RU"/>
        </w:rPr>
        <w:t xml:space="preserve"> </w:t>
      </w:r>
      <w:r w:rsidRPr="00985EBC">
        <w:rPr>
          <w:rFonts w:asciiTheme="majorHAnsi" w:eastAsia="Times New Roman" w:hAnsiTheme="majorHAnsi" w:cs="Times New Roman"/>
          <w:i/>
          <w:sz w:val="16"/>
          <w:szCs w:val="16"/>
          <w:lang w:val="ro-RO" w:eastAsia="ru-RU"/>
        </w:rPr>
        <w:t>Distribuţia proiectelor după categoria de act legislativ</w:t>
      </w:r>
    </w:p>
    <w:p w:rsidR="00EF2E6B" w:rsidRPr="00985EBC" w:rsidRDefault="00EF2E6B" w:rsidP="008E402B">
      <w:pPr>
        <w:jc w:val="left"/>
        <w:rPr>
          <w:rFonts w:asciiTheme="majorHAnsi" w:eastAsia="Times New Roman" w:hAnsiTheme="majorHAnsi" w:cs="Times New Roman"/>
          <w:b/>
          <w:i/>
          <w:sz w:val="16"/>
          <w:szCs w:val="16"/>
          <w:lang w:val="ro-RO" w:eastAsia="ru-RU"/>
        </w:rPr>
      </w:pPr>
    </w:p>
    <w:p w:rsidR="001378F0" w:rsidRPr="00985EBC" w:rsidRDefault="001378F0" w:rsidP="00EF2E6B">
      <w:pPr>
        <w:jc w:val="center"/>
        <w:rPr>
          <w:lang w:val="ro-RO"/>
        </w:rPr>
      </w:pPr>
      <w:r w:rsidRPr="00985EBC">
        <w:rPr>
          <w:noProof/>
          <w:lang w:eastAsia="ru-RU"/>
        </w:rPr>
        <w:drawing>
          <wp:inline distT="0" distB="0" distL="0" distR="0">
            <wp:extent cx="5819775" cy="2286000"/>
            <wp:effectExtent l="76200" t="3810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9579F" w:rsidRPr="00985EBC" w:rsidRDefault="0089579F" w:rsidP="0089579F">
      <w:pPr>
        <w:rPr>
          <w:lang w:val="ro-RO"/>
        </w:rPr>
      </w:pPr>
    </w:p>
    <w:p w:rsidR="001378F0" w:rsidRPr="00985EBC" w:rsidRDefault="001378F0" w:rsidP="0089579F">
      <w:pPr>
        <w:rPr>
          <w:lang w:val="ro-RO"/>
        </w:rPr>
      </w:pPr>
    </w:p>
    <w:p w:rsidR="001378F0" w:rsidRPr="00EF2E6B" w:rsidRDefault="00C2603D" w:rsidP="0089579F">
      <w:pPr>
        <w:rPr>
          <w:rFonts w:asciiTheme="majorHAnsi" w:hAnsiTheme="majorHAnsi"/>
          <w:sz w:val="24"/>
          <w:szCs w:val="24"/>
          <w:lang w:val="ro-RO"/>
        </w:rPr>
      </w:pPr>
      <w:r w:rsidRPr="00985EBC">
        <w:rPr>
          <w:rFonts w:asciiTheme="majorHAnsi" w:hAnsiTheme="majorHAnsi"/>
          <w:sz w:val="24"/>
          <w:szCs w:val="24"/>
          <w:lang w:val="ro-RO"/>
        </w:rPr>
        <w:t>Totodată, trebui</w:t>
      </w:r>
      <w:r w:rsidR="0061131E" w:rsidRPr="00985EBC">
        <w:rPr>
          <w:rFonts w:asciiTheme="majorHAnsi" w:hAnsiTheme="majorHAnsi"/>
          <w:sz w:val="24"/>
          <w:szCs w:val="24"/>
          <w:lang w:val="ro-RO"/>
        </w:rPr>
        <w:t>e</w:t>
      </w:r>
      <w:r w:rsidRPr="00985EBC">
        <w:rPr>
          <w:rFonts w:asciiTheme="majorHAnsi" w:hAnsiTheme="majorHAnsi"/>
          <w:sz w:val="24"/>
          <w:szCs w:val="24"/>
          <w:lang w:val="ro-RO"/>
        </w:rPr>
        <w:t xml:space="preserve"> să constatăm că</w:t>
      </w:r>
      <w:r w:rsidR="0061131E" w:rsidRPr="00985EBC">
        <w:rPr>
          <w:rFonts w:asciiTheme="majorHAnsi" w:hAnsiTheme="majorHAnsi"/>
          <w:sz w:val="24"/>
          <w:szCs w:val="24"/>
          <w:lang w:val="ro-RO"/>
        </w:rPr>
        <w:t xml:space="preserve"> cele mai multe legi de modificare şi completare s-au </w:t>
      </w:r>
      <w:r w:rsidR="0061131E" w:rsidRPr="00EF2E6B">
        <w:rPr>
          <w:rFonts w:asciiTheme="majorHAnsi" w:hAnsiTheme="majorHAnsi"/>
          <w:sz w:val="24"/>
          <w:szCs w:val="24"/>
          <w:lang w:val="ro-RO"/>
        </w:rPr>
        <w:t xml:space="preserve">înregistrat în Domeniul I </w:t>
      </w:r>
      <w:r w:rsidRPr="00EF2E6B">
        <w:rPr>
          <w:rFonts w:asciiTheme="majorHAnsi" w:hAnsiTheme="majorHAnsi"/>
          <w:sz w:val="24"/>
          <w:szCs w:val="24"/>
          <w:lang w:val="ro-RO"/>
        </w:rPr>
        <w:t xml:space="preserve"> </w:t>
      </w:r>
      <w:r w:rsidR="0061131E" w:rsidRPr="00EF2E6B">
        <w:rPr>
          <w:rFonts w:asciiTheme="majorHAnsi" w:hAnsiTheme="majorHAnsi"/>
          <w:sz w:val="24"/>
          <w:szCs w:val="24"/>
          <w:lang w:val="ro-RO"/>
        </w:rPr>
        <w:t>„Justiţie şi afaceri interne, drepturile şi libertăţile omului” –  30 de proiecte sau 81,08%, iar cele mai multe legi integrale în domeniile „E</w:t>
      </w:r>
      <w:r w:rsidR="0061131E" w:rsidRPr="00EF2E6B">
        <w:rPr>
          <w:rFonts w:asciiTheme="majorHAnsi" w:hAnsiTheme="majorHAnsi" w:cs="Arial"/>
          <w:sz w:val="24"/>
          <w:szCs w:val="24"/>
          <w:lang w:val="ro-RO"/>
        </w:rPr>
        <w:t>conomie şi comerţ” - 6 proiecte sau 54,55% şi  „Buget şi finanţe” – 3 sau 50%.</w:t>
      </w:r>
    </w:p>
    <w:p w:rsidR="00C2603D" w:rsidRPr="00EF2E6B" w:rsidRDefault="00C2603D" w:rsidP="0089579F">
      <w:pPr>
        <w:rPr>
          <w:rFonts w:asciiTheme="majorHAnsi" w:hAnsiTheme="majorHAnsi" w:cs="Arial"/>
          <w:sz w:val="24"/>
          <w:szCs w:val="24"/>
          <w:lang w:val="ro-RO"/>
        </w:rPr>
      </w:pPr>
    </w:p>
    <w:p w:rsidR="0061131E" w:rsidRDefault="0061131E" w:rsidP="00DB2DE2">
      <w:pPr>
        <w:rPr>
          <w:rFonts w:asciiTheme="majorHAnsi" w:hAnsiTheme="majorHAnsi" w:cs="Arial"/>
          <w:sz w:val="24"/>
          <w:szCs w:val="24"/>
          <w:lang w:val="ro-RO"/>
        </w:rPr>
      </w:pPr>
      <w:r w:rsidRPr="00EF2E6B">
        <w:rPr>
          <w:rFonts w:asciiTheme="majorHAnsi" w:hAnsiTheme="majorHAnsi" w:cs="Arial"/>
          <w:sz w:val="24"/>
          <w:szCs w:val="24"/>
          <w:lang w:val="ro-RO"/>
        </w:rPr>
        <w:t>Ponderea atît de importantă a legilor de modificare şi completare constituie încă o dovadă a fenomenului „fluctuaţiei legislaţiei” şi este generată de ne</w:t>
      </w:r>
      <w:r w:rsidR="00DB2DE2" w:rsidRPr="00EF2E6B">
        <w:rPr>
          <w:rFonts w:asciiTheme="majorHAnsi" w:hAnsiTheme="majorHAnsi" w:cs="Arial"/>
          <w:sz w:val="24"/>
          <w:szCs w:val="24"/>
          <w:lang w:val="ro-RO"/>
        </w:rPr>
        <w:t xml:space="preserve">socotirea regulilor </w:t>
      </w:r>
      <w:r w:rsidRPr="00EF2E6B">
        <w:rPr>
          <w:rFonts w:asciiTheme="majorHAnsi" w:hAnsiTheme="majorHAnsi" w:cs="Arial"/>
          <w:sz w:val="24"/>
          <w:szCs w:val="24"/>
          <w:lang w:val="ro-RO"/>
        </w:rPr>
        <w:t xml:space="preserve">de iniţiere, elaborare, expertiză, redactare şi </w:t>
      </w:r>
      <w:r w:rsidR="00DB2DE2" w:rsidRPr="00EF2E6B">
        <w:rPr>
          <w:rFonts w:asciiTheme="majorHAnsi" w:hAnsiTheme="majorHAnsi" w:cs="Arial"/>
          <w:sz w:val="24"/>
          <w:szCs w:val="24"/>
          <w:lang w:val="ro-RO"/>
        </w:rPr>
        <w:t>adoptare a actelor legislative, aşa cum acestea au fost stabilite prin Legea privind actele legislative.</w:t>
      </w:r>
    </w:p>
    <w:p w:rsidR="001378F0" w:rsidRPr="00EF2E6B" w:rsidRDefault="00356392" w:rsidP="007139C9">
      <w:pPr>
        <w:pStyle w:val="Heading1"/>
        <w:rPr>
          <w:lang w:val="ro-RO"/>
        </w:rPr>
      </w:pPr>
      <w:bookmarkStart w:id="13" w:name="_Toc409790620"/>
      <w:r w:rsidRPr="00EF2E6B">
        <w:rPr>
          <w:lang w:val="ro-RO"/>
        </w:rPr>
        <w:t xml:space="preserve">III.4 </w:t>
      </w:r>
      <w:r w:rsidR="001378F0" w:rsidRPr="00EF2E6B">
        <w:rPr>
          <w:lang w:val="ro-RO"/>
        </w:rPr>
        <w:t>Autorii iniţiativelor legislative</w:t>
      </w:r>
      <w:bookmarkEnd w:id="13"/>
    </w:p>
    <w:p w:rsidR="00957F31" w:rsidRPr="00985EBC" w:rsidRDefault="00957F31" w:rsidP="00957F31">
      <w:pPr>
        <w:rPr>
          <w:rFonts w:asciiTheme="majorHAnsi" w:eastAsia="Times New Roman" w:hAnsiTheme="majorHAnsi" w:cs="Times New Roman"/>
          <w:sz w:val="24"/>
          <w:szCs w:val="24"/>
          <w:lang w:val="ro-RO" w:eastAsia="ru-RU"/>
        </w:rPr>
      </w:pPr>
    </w:p>
    <w:p w:rsidR="00957F31" w:rsidRPr="00985EBC" w:rsidRDefault="00957F31" w:rsidP="00957F31">
      <w:pPr>
        <w:rPr>
          <w:rFonts w:asciiTheme="majorHAnsi" w:eastAsia="Times New Roman" w:hAnsiTheme="majorHAnsi" w:cs="Times New Roman"/>
          <w:sz w:val="24"/>
          <w:szCs w:val="24"/>
          <w:lang w:val="ro-RO" w:eastAsia="ru-RU"/>
        </w:rPr>
      </w:pPr>
      <w:r w:rsidRPr="00985EBC">
        <w:rPr>
          <w:rFonts w:asciiTheme="majorHAnsi" w:eastAsia="Times New Roman" w:hAnsiTheme="majorHAnsi" w:cs="Times New Roman"/>
          <w:sz w:val="24"/>
          <w:szCs w:val="24"/>
          <w:lang w:val="ro-RO" w:eastAsia="ru-RU"/>
        </w:rPr>
        <w:t>Potrivit art.73 din Constituţia Republicii Moldova, „dreptul de iniţiativă legislativă aparţine deputaţilor în Parlament, Preşedintelui Republicii Moldova, Guvernului, Adunării Populare a unităţii teritoriale autonome Găgăuzia”.</w:t>
      </w:r>
    </w:p>
    <w:p w:rsidR="00851FE5" w:rsidRDefault="00957F31" w:rsidP="00957F31">
      <w:pPr>
        <w:rPr>
          <w:rFonts w:asciiTheme="majorHAnsi" w:eastAsia="Times New Roman" w:hAnsiTheme="majorHAnsi" w:cs="Times New Roman"/>
          <w:sz w:val="24"/>
          <w:szCs w:val="24"/>
          <w:lang w:val="ro-RO" w:eastAsia="ru-RU"/>
        </w:rPr>
      </w:pPr>
      <w:r w:rsidRPr="00985EBC">
        <w:rPr>
          <w:rFonts w:ascii="Tahoma" w:eastAsia="Times New Roman" w:hAnsi="Tahoma" w:cs="Tahoma"/>
          <w:sz w:val="18"/>
          <w:szCs w:val="18"/>
          <w:lang w:val="ro-RO" w:eastAsia="ru-RU"/>
        </w:rPr>
        <w:br/>
      </w:r>
      <w:r w:rsidR="00C978B1" w:rsidRPr="00985EBC">
        <w:rPr>
          <w:rFonts w:asciiTheme="majorHAnsi" w:hAnsiTheme="majorHAnsi"/>
          <w:sz w:val="24"/>
          <w:szCs w:val="24"/>
          <w:lang w:val="ro-RO"/>
        </w:rPr>
        <w:t>Astfel, analiza rezultatelor generalizării proiectelor de acte legislative (75 proiecte) din perspectiva autorilor acestora (</w:t>
      </w:r>
      <w:r w:rsidR="00C978B1" w:rsidRPr="00616AAC">
        <w:rPr>
          <w:rFonts w:asciiTheme="majorHAnsi" w:hAnsiTheme="majorHAnsi"/>
          <w:sz w:val="24"/>
          <w:szCs w:val="24"/>
          <w:lang w:val="ro-RO"/>
        </w:rPr>
        <w:t>a se vedea figura</w:t>
      </w:r>
      <w:r w:rsidR="000B050A" w:rsidRPr="00616AAC">
        <w:rPr>
          <w:rFonts w:asciiTheme="majorHAnsi" w:hAnsiTheme="majorHAnsi"/>
          <w:sz w:val="24"/>
          <w:szCs w:val="24"/>
          <w:lang w:val="ro-RO"/>
        </w:rPr>
        <w:t xml:space="preserve"> 3</w:t>
      </w:r>
      <w:r w:rsidR="00C978B1" w:rsidRPr="00985EBC">
        <w:rPr>
          <w:rFonts w:asciiTheme="majorHAnsi" w:hAnsiTheme="majorHAnsi"/>
          <w:sz w:val="24"/>
          <w:szCs w:val="24"/>
          <w:lang w:val="ro-RO"/>
        </w:rPr>
        <w:t xml:space="preserve">) ne-a permis să constatăm, că peste 61% din proiectele expertizate de CAPC au fost promovate de Guvern, peste 25% de către un grup de deputaţi,  peste 5% de un deputat şi aproape 7% de  </w:t>
      </w:r>
      <w:r w:rsidR="00C978B1" w:rsidRPr="00985EBC">
        <w:rPr>
          <w:rFonts w:asciiTheme="majorHAnsi" w:eastAsia="Times New Roman" w:hAnsiTheme="majorHAnsi" w:cs="Times New Roman"/>
          <w:sz w:val="24"/>
          <w:szCs w:val="24"/>
          <w:lang w:val="ro-RO" w:eastAsia="ru-RU"/>
        </w:rPr>
        <w:t>Adunarea Populară a UTA Gagauzia. Nici</w:t>
      </w:r>
      <w:r w:rsidR="001214FC">
        <w:rPr>
          <w:rFonts w:asciiTheme="majorHAnsi" w:eastAsia="Times New Roman" w:hAnsiTheme="majorHAnsi" w:cs="Times New Roman"/>
          <w:sz w:val="24"/>
          <w:szCs w:val="24"/>
          <w:lang w:val="ro-RO" w:eastAsia="ru-RU"/>
        </w:rPr>
        <w:t xml:space="preserve"> </w:t>
      </w:r>
      <w:r w:rsidR="00C978B1" w:rsidRPr="00985EBC">
        <w:rPr>
          <w:rFonts w:asciiTheme="majorHAnsi" w:eastAsia="Times New Roman" w:hAnsiTheme="majorHAnsi" w:cs="Times New Roman"/>
          <w:sz w:val="24"/>
          <w:szCs w:val="24"/>
          <w:lang w:val="ro-RO" w:eastAsia="ru-RU"/>
        </w:rPr>
        <w:t>unul din proiectele expertizate de CAPC nu a constituit iniţiativă legislativă a Preşedintelui Republicii Moldova.</w:t>
      </w:r>
    </w:p>
    <w:p w:rsidR="00851FE5" w:rsidRPr="00985EBC" w:rsidRDefault="00851FE5" w:rsidP="00957F31">
      <w:pPr>
        <w:rPr>
          <w:lang w:val="ro-RO"/>
        </w:rPr>
      </w:pPr>
    </w:p>
    <w:p w:rsidR="00233DDB" w:rsidRPr="00985EBC" w:rsidRDefault="00743648" w:rsidP="00743648">
      <w:pPr>
        <w:jc w:val="left"/>
        <w:rPr>
          <w:rFonts w:asciiTheme="majorHAnsi" w:eastAsia="Times New Roman" w:hAnsiTheme="majorHAnsi" w:cs="Times New Roman"/>
          <w:b/>
          <w:i/>
          <w:sz w:val="16"/>
          <w:szCs w:val="16"/>
          <w:lang w:val="ro-RO" w:eastAsia="ru-RU"/>
        </w:rPr>
      </w:pPr>
      <w:r w:rsidRPr="00985EBC">
        <w:rPr>
          <w:rFonts w:asciiTheme="majorHAnsi" w:eastAsia="Times New Roman" w:hAnsiTheme="majorHAnsi" w:cs="Times New Roman"/>
          <w:b/>
          <w:i/>
          <w:sz w:val="16"/>
          <w:szCs w:val="16"/>
          <w:lang w:val="ro-RO" w:eastAsia="ru-RU"/>
        </w:rPr>
        <w:t xml:space="preserve">Figura </w:t>
      </w:r>
      <w:r w:rsidR="000B050A" w:rsidRPr="00985EBC">
        <w:rPr>
          <w:rFonts w:asciiTheme="majorHAnsi" w:eastAsia="Times New Roman" w:hAnsiTheme="majorHAnsi" w:cs="Times New Roman"/>
          <w:b/>
          <w:i/>
          <w:sz w:val="16"/>
          <w:szCs w:val="16"/>
          <w:lang w:val="ro-RO" w:eastAsia="ru-RU"/>
        </w:rPr>
        <w:t>3</w:t>
      </w:r>
      <w:r w:rsidRPr="00985EBC">
        <w:rPr>
          <w:rFonts w:asciiTheme="majorHAnsi" w:eastAsia="Times New Roman" w:hAnsiTheme="majorHAnsi" w:cs="Times New Roman"/>
          <w:b/>
          <w:i/>
          <w:sz w:val="16"/>
          <w:szCs w:val="16"/>
          <w:lang w:val="ro-RO" w:eastAsia="ru-RU"/>
        </w:rPr>
        <w:t>.</w:t>
      </w:r>
      <w:r w:rsidR="000B050A" w:rsidRPr="00985EBC">
        <w:rPr>
          <w:rFonts w:asciiTheme="majorHAnsi" w:eastAsia="Times New Roman" w:hAnsiTheme="majorHAnsi" w:cs="Times New Roman"/>
          <w:b/>
          <w:i/>
          <w:sz w:val="16"/>
          <w:szCs w:val="16"/>
          <w:lang w:val="ro-RO" w:eastAsia="ru-RU"/>
        </w:rPr>
        <w:t xml:space="preserve"> </w:t>
      </w:r>
      <w:r w:rsidRPr="00985EBC">
        <w:rPr>
          <w:rFonts w:asciiTheme="majorHAnsi" w:eastAsia="Times New Roman" w:hAnsiTheme="majorHAnsi" w:cs="Times New Roman"/>
          <w:i/>
          <w:sz w:val="16"/>
          <w:szCs w:val="16"/>
          <w:lang w:val="ro-RO" w:eastAsia="ru-RU"/>
        </w:rPr>
        <w:t>Ponderea autorilor proiectelor</w:t>
      </w:r>
    </w:p>
    <w:p w:rsidR="00233DDB" w:rsidRPr="00985EBC" w:rsidRDefault="00233DDB">
      <w:pPr>
        <w:rPr>
          <w:lang w:val="ro-RO"/>
        </w:rPr>
      </w:pPr>
      <w:r w:rsidRPr="00985EBC">
        <w:rPr>
          <w:noProof/>
          <w:lang w:eastAsia="ru-RU"/>
        </w:rPr>
        <w:lastRenderedPageBreak/>
        <w:drawing>
          <wp:inline distT="0" distB="0" distL="0" distR="0">
            <wp:extent cx="5218926" cy="1791842"/>
            <wp:effectExtent l="76200" t="38100" r="19824" b="17908"/>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26EB" w:rsidRPr="00985EBC" w:rsidRDefault="00BF26EB">
      <w:pPr>
        <w:rPr>
          <w:lang w:val="ro-RO"/>
        </w:rPr>
      </w:pPr>
    </w:p>
    <w:p w:rsidR="00016393" w:rsidRPr="00985EBC" w:rsidRDefault="00016393" w:rsidP="00016393">
      <w:pPr>
        <w:rPr>
          <w:rFonts w:asciiTheme="majorHAnsi" w:hAnsiTheme="majorHAnsi"/>
          <w:sz w:val="24"/>
          <w:szCs w:val="24"/>
          <w:lang w:val="ro-RO"/>
        </w:rPr>
      </w:pPr>
      <w:r w:rsidRPr="00985EBC">
        <w:rPr>
          <w:rFonts w:asciiTheme="majorHAnsi" w:hAnsiTheme="majorHAnsi"/>
          <w:sz w:val="24"/>
          <w:szCs w:val="24"/>
          <w:lang w:val="ro-RO"/>
        </w:rPr>
        <w:t xml:space="preserve">Deşi eşantionul de 75 de proiecte de legi expertizate nu este unul reprezentativ pentru activitatea de legiferare a Parlamentului de Legislatura XIX, totuşi trebuie să </w:t>
      </w:r>
      <w:r w:rsidR="000B050A" w:rsidRPr="00985EBC">
        <w:rPr>
          <w:rFonts w:asciiTheme="majorHAnsi" w:hAnsiTheme="majorHAnsi"/>
          <w:sz w:val="24"/>
          <w:szCs w:val="24"/>
          <w:lang w:val="ro-RO"/>
        </w:rPr>
        <w:t>remarcăm</w:t>
      </w:r>
      <w:r w:rsidRPr="00985EBC">
        <w:rPr>
          <w:rFonts w:asciiTheme="majorHAnsi" w:hAnsiTheme="majorHAnsi"/>
          <w:sz w:val="24"/>
          <w:szCs w:val="24"/>
          <w:lang w:val="ro-RO"/>
        </w:rPr>
        <w:t xml:space="preserve">, că în comparaţie cu alte legislaturi, a crescut numărul de proiecte înaintate de </w:t>
      </w:r>
      <w:r w:rsidR="008F2432" w:rsidRPr="00985EBC">
        <w:rPr>
          <w:rFonts w:asciiTheme="majorHAnsi" w:hAnsiTheme="majorHAnsi"/>
          <w:sz w:val="24"/>
          <w:szCs w:val="24"/>
          <w:lang w:val="ro-RO"/>
        </w:rPr>
        <w:t xml:space="preserve">următorii subiecţi cu iniţiativă legislativă: </w:t>
      </w:r>
      <w:r w:rsidRPr="00985EBC">
        <w:rPr>
          <w:rFonts w:asciiTheme="majorHAnsi" w:hAnsiTheme="majorHAnsi"/>
          <w:sz w:val="24"/>
          <w:szCs w:val="24"/>
          <w:lang w:val="ro-RO"/>
        </w:rPr>
        <w:t>un grup de deputaţi şi Adunarea Populară a UTA Gagauzia.</w:t>
      </w:r>
    </w:p>
    <w:p w:rsidR="00016393" w:rsidRPr="00985EBC" w:rsidRDefault="00016393" w:rsidP="00016393">
      <w:pPr>
        <w:rPr>
          <w:rFonts w:asciiTheme="majorHAnsi" w:hAnsiTheme="majorHAnsi"/>
          <w:sz w:val="24"/>
          <w:szCs w:val="24"/>
          <w:lang w:val="ro-RO"/>
        </w:rPr>
      </w:pPr>
    </w:p>
    <w:p w:rsidR="00016393" w:rsidRPr="00985EBC" w:rsidRDefault="00016393" w:rsidP="00016393">
      <w:pPr>
        <w:rPr>
          <w:rFonts w:asciiTheme="majorHAnsi" w:hAnsiTheme="majorHAnsi"/>
          <w:sz w:val="24"/>
          <w:szCs w:val="24"/>
          <w:lang w:val="ro-RO"/>
        </w:rPr>
      </w:pPr>
      <w:r w:rsidRPr="00985EBC">
        <w:rPr>
          <w:rFonts w:asciiTheme="majorHAnsi" w:hAnsiTheme="majorHAnsi"/>
          <w:sz w:val="24"/>
          <w:szCs w:val="24"/>
          <w:lang w:val="ro-RO"/>
        </w:rPr>
        <w:t>Totodată, constatăm că toate categoriile de autori au înaintat cu preponderenţă proiecte de legi,  care reglementează Domeniul «Justiţie şi afaceri interne, drepturile şi libertăţile omului», iar al doilea domeniul de interes, mai ales pentru grupurile de deputaţi, l-a constituit Domeniul „</w:t>
      </w:r>
      <w:r w:rsidRPr="00985EBC">
        <w:rPr>
          <w:rFonts w:asciiTheme="majorHAnsi" w:eastAsia="Times New Roman" w:hAnsiTheme="majorHAnsi" w:cs="Times New Roman"/>
          <w:sz w:val="24"/>
          <w:szCs w:val="24"/>
          <w:lang w:val="ro-RO" w:eastAsia="ru-RU"/>
        </w:rPr>
        <w:t>Legislaţia muncii, asigurarea socială şi ocrotirea sănătăţii”.</w:t>
      </w:r>
    </w:p>
    <w:p w:rsidR="00016393" w:rsidRPr="00985EBC" w:rsidRDefault="00016393" w:rsidP="00016393">
      <w:pPr>
        <w:rPr>
          <w:rFonts w:asciiTheme="majorHAnsi" w:eastAsia="Times New Roman" w:hAnsiTheme="majorHAnsi" w:cs="Times New Roman"/>
          <w:sz w:val="16"/>
          <w:szCs w:val="16"/>
          <w:lang w:val="ro-RO" w:eastAsia="ru-RU"/>
        </w:rPr>
      </w:pPr>
    </w:p>
    <w:p w:rsidR="00BF26EB" w:rsidRPr="00EF2E6B" w:rsidRDefault="00BF26EB" w:rsidP="007139C9">
      <w:pPr>
        <w:pStyle w:val="Heading1"/>
        <w:rPr>
          <w:lang w:val="ro-RO"/>
        </w:rPr>
      </w:pPr>
      <w:bookmarkStart w:id="14" w:name="_Toc409790621"/>
      <w:r w:rsidRPr="00EF2E6B">
        <w:rPr>
          <w:lang w:val="ro-RO"/>
        </w:rPr>
        <w:t>III.5 Argumentarea promovării proiectelor de legi</w:t>
      </w:r>
      <w:bookmarkEnd w:id="14"/>
    </w:p>
    <w:p w:rsidR="00BF26EB" w:rsidRPr="00985EBC" w:rsidRDefault="00BF26EB">
      <w:pPr>
        <w:rPr>
          <w:lang w:val="ro-RO"/>
        </w:rPr>
      </w:pPr>
    </w:p>
    <w:p w:rsidR="00906A27" w:rsidRPr="00985EBC" w:rsidRDefault="00EF7B8E">
      <w:pPr>
        <w:rPr>
          <w:rFonts w:asciiTheme="majorHAnsi" w:hAnsiTheme="majorHAnsi"/>
          <w:sz w:val="24"/>
          <w:szCs w:val="24"/>
          <w:lang w:val="ro-RO"/>
        </w:rPr>
      </w:pPr>
      <w:r w:rsidRPr="00985EBC">
        <w:rPr>
          <w:rFonts w:asciiTheme="majorHAnsi" w:hAnsiTheme="majorHAnsi"/>
          <w:sz w:val="24"/>
          <w:szCs w:val="24"/>
          <w:lang w:val="ro-RO"/>
        </w:rPr>
        <w:t>Potrivit art.20 din Legea privind actele legislative, nota informativă include:</w:t>
      </w:r>
    </w:p>
    <w:p w:rsidR="00906A27" w:rsidRPr="00985EBC" w:rsidRDefault="00EF7B8E" w:rsidP="00906A27">
      <w:pPr>
        <w:ind w:firstLine="567"/>
        <w:rPr>
          <w:rFonts w:asciiTheme="majorHAnsi" w:eastAsia="Times New Roman" w:hAnsiTheme="majorHAnsi" w:cs="Times New Roman"/>
          <w:i/>
          <w:sz w:val="24"/>
          <w:szCs w:val="24"/>
          <w:lang w:val="ro-RO" w:eastAsia="ru-RU"/>
        </w:rPr>
      </w:pPr>
      <w:r w:rsidRPr="00985EBC">
        <w:rPr>
          <w:rFonts w:asciiTheme="majorHAnsi" w:eastAsia="Times New Roman" w:hAnsiTheme="majorHAnsi" w:cs="Times New Roman"/>
          <w:sz w:val="24"/>
          <w:szCs w:val="24"/>
          <w:lang w:val="ro-RO" w:eastAsia="ru-RU"/>
        </w:rPr>
        <w:t>„</w:t>
      </w:r>
      <w:r w:rsidR="00906A27" w:rsidRPr="00985EBC">
        <w:rPr>
          <w:rFonts w:asciiTheme="majorHAnsi" w:eastAsia="Times New Roman" w:hAnsiTheme="majorHAnsi" w:cs="Times New Roman"/>
          <w:i/>
          <w:sz w:val="24"/>
          <w:szCs w:val="24"/>
          <w:lang w:val="ro-RO" w:eastAsia="ru-RU"/>
        </w:rPr>
        <w:t xml:space="preserve">a) condiţiile ce au impus elaborarea proiectului, inclusiv necesitatea armonizării actului legislativ cu reglementările legislaţiei comunitare, finalităţile urmărite prin implementarea noilor reglementări; </w:t>
      </w:r>
    </w:p>
    <w:p w:rsidR="00906A27" w:rsidRPr="00985EBC" w:rsidRDefault="00906A27" w:rsidP="00906A27">
      <w:pPr>
        <w:ind w:firstLine="567"/>
        <w:rPr>
          <w:rFonts w:asciiTheme="majorHAnsi" w:eastAsia="Times New Roman" w:hAnsiTheme="majorHAnsi" w:cs="Times New Roman"/>
          <w:i/>
          <w:sz w:val="24"/>
          <w:szCs w:val="24"/>
          <w:lang w:val="ro-RO" w:eastAsia="ru-RU"/>
        </w:rPr>
      </w:pPr>
      <w:r w:rsidRPr="00985EBC">
        <w:rPr>
          <w:rFonts w:asciiTheme="majorHAnsi" w:eastAsia="Times New Roman" w:hAnsiTheme="majorHAnsi" w:cs="Times New Roman"/>
          <w:i/>
          <w:sz w:val="24"/>
          <w:szCs w:val="24"/>
          <w:lang w:val="ro-RO" w:eastAsia="ru-RU"/>
        </w:rPr>
        <w:t xml:space="preserve">b) principalele prevederi, locul actului în sistemul legislaţiei, evidenţierea elementelor noi, efectul social, economic şi de altă natură al realizării lui; </w:t>
      </w:r>
    </w:p>
    <w:p w:rsidR="00906A27" w:rsidRPr="00985EBC" w:rsidRDefault="00906A27" w:rsidP="00906A27">
      <w:pPr>
        <w:ind w:firstLine="567"/>
        <w:rPr>
          <w:rFonts w:asciiTheme="majorHAnsi" w:eastAsia="Times New Roman" w:hAnsiTheme="majorHAnsi" w:cs="Times New Roman"/>
          <w:i/>
          <w:sz w:val="24"/>
          <w:szCs w:val="24"/>
          <w:lang w:val="ro-RO" w:eastAsia="ru-RU"/>
        </w:rPr>
      </w:pPr>
      <w:r w:rsidRPr="00985EBC">
        <w:rPr>
          <w:rFonts w:asciiTheme="majorHAnsi" w:eastAsia="Times New Roman" w:hAnsiTheme="majorHAnsi" w:cs="Times New Roman"/>
          <w:i/>
          <w:sz w:val="24"/>
          <w:szCs w:val="24"/>
          <w:lang w:val="ro-RO" w:eastAsia="ru-RU"/>
        </w:rPr>
        <w:t>c) referinţele la reglementările corespondente ale legislaţiei comunitare şi nivelul compatibilităţii proiectului de act legislativ cu reglementările în cauză</w:t>
      </w:r>
    </w:p>
    <w:p w:rsidR="00906A27" w:rsidRPr="00985EBC" w:rsidRDefault="00906A27" w:rsidP="00906A27">
      <w:pPr>
        <w:ind w:firstLine="567"/>
        <w:rPr>
          <w:rFonts w:asciiTheme="majorHAnsi" w:eastAsia="Times New Roman" w:hAnsiTheme="majorHAnsi" w:cs="Times New Roman"/>
          <w:i/>
          <w:sz w:val="24"/>
          <w:szCs w:val="24"/>
          <w:lang w:val="ro-RO" w:eastAsia="ru-RU"/>
        </w:rPr>
      </w:pPr>
      <w:r w:rsidRPr="00985EBC">
        <w:rPr>
          <w:rFonts w:asciiTheme="majorHAnsi" w:eastAsia="Times New Roman" w:hAnsiTheme="majorHAnsi" w:cs="Times New Roman"/>
          <w:i/>
          <w:sz w:val="24"/>
          <w:szCs w:val="24"/>
          <w:lang w:val="ro-RO" w:eastAsia="ru-RU"/>
        </w:rPr>
        <w:t>d) fundamentarea economico-financiară în cazul în care realizarea noilor reglementări necesită cheltuieli financiare şi de altă natură;</w:t>
      </w:r>
    </w:p>
    <w:p w:rsidR="00906A27" w:rsidRPr="00985EBC" w:rsidRDefault="00906A27" w:rsidP="00906A27">
      <w:pPr>
        <w:ind w:firstLine="567"/>
        <w:rPr>
          <w:rFonts w:asciiTheme="majorHAnsi" w:eastAsia="Times New Roman" w:hAnsiTheme="majorHAnsi" w:cs="Times New Roman"/>
          <w:sz w:val="24"/>
          <w:szCs w:val="24"/>
          <w:lang w:val="ro-RO" w:eastAsia="ru-RU"/>
        </w:rPr>
      </w:pPr>
      <w:r w:rsidRPr="00985EBC">
        <w:rPr>
          <w:rFonts w:asciiTheme="majorHAnsi" w:eastAsia="Times New Roman" w:hAnsiTheme="majorHAnsi" w:cs="Times New Roman"/>
          <w:i/>
          <w:sz w:val="24"/>
          <w:szCs w:val="24"/>
          <w:lang w:val="ro-RO" w:eastAsia="ru-RU"/>
        </w:rPr>
        <w:t>e) actul de analiză a impactului de reglementare, în cazul în care actul legislativ reglementează activitatea de întreprinzător. Analiza impactului de reglementare reprezintă argumentarea, în baza evaluării costurilor şi beneficiilor, a necesităţii adoptării actului normativ şi analiza de impact al acestuia asupra activităţii de întreprinzător, inclusiv asigurarea respectării drepturilor şi intereselor înt</w:t>
      </w:r>
      <w:r w:rsidR="00EF7B8E" w:rsidRPr="00985EBC">
        <w:rPr>
          <w:rFonts w:asciiTheme="majorHAnsi" w:eastAsia="Times New Roman" w:hAnsiTheme="majorHAnsi" w:cs="Times New Roman"/>
          <w:i/>
          <w:sz w:val="24"/>
          <w:szCs w:val="24"/>
          <w:lang w:val="ro-RO" w:eastAsia="ru-RU"/>
        </w:rPr>
        <w:t>reprinzătorilor şi ale statului</w:t>
      </w:r>
      <w:r w:rsidR="00EF7B8E" w:rsidRPr="00985EBC">
        <w:rPr>
          <w:lang w:val="ro-RO"/>
        </w:rPr>
        <w:t>”.</w:t>
      </w:r>
    </w:p>
    <w:p w:rsidR="00192B54" w:rsidRPr="00985EBC" w:rsidRDefault="00192B54" w:rsidP="00E42CCE">
      <w:pPr>
        <w:jc w:val="left"/>
        <w:rPr>
          <w:rFonts w:ascii="Tahoma" w:eastAsia="Times New Roman" w:hAnsi="Tahoma" w:cs="Tahoma"/>
          <w:sz w:val="18"/>
          <w:szCs w:val="18"/>
          <w:lang w:val="ro-RO" w:eastAsia="ru-RU"/>
        </w:rPr>
      </w:pPr>
    </w:p>
    <w:p w:rsidR="00192B54" w:rsidRPr="00985EBC" w:rsidRDefault="00192B54" w:rsidP="00192B54">
      <w:pPr>
        <w:rPr>
          <w:rFonts w:asciiTheme="majorHAnsi" w:eastAsia="Times New Roman" w:hAnsiTheme="majorHAnsi" w:cs="Times New Roman"/>
          <w:sz w:val="24"/>
          <w:szCs w:val="24"/>
          <w:lang w:val="ro-RO" w:eastAsia="ru-RU"/>
        </w:rPr>
      </w:pPr>
      <w:r w:rsidRPr="00985EBC">
        <w:rPr>
          <w:rFonts w:asciiTheme="majorHAnsi" w:eastAsia="Times New Roman" w:hAnsiTheme="majorHAnsi" w:cs="Times New Roman"/>
          <w:sz w:val="24"/>
          <w:szCs w:val="24"/>
          <w:lang w:val="ro-RO" w:eastAsia="ru-RU"/>
        </w:rPr>
        <w:t xml:space="preserve">În procesul efectuării expertizei legislaţiei din perspectiva drepturilor omului, experţii CAPC au evaluat suficienţa argumentării notelor informative la proiectele de legi prin prisma corespunderii acestora exigenţelor Legii privind </w:t>
      </w:r>
      <w:r w:rsidRPr="00985EBC">
        <w:rPr>
          <w:rFonts w:asciiTheme="majorHAnsi" w:hAnsiTheme="majorHAnsi"/>
          <w:sz w:val="24"/>
          <w:szCs w:val="24"/>
          <w:lang w:val="ro-RO"/>
        </w:rPr>
        <w:t xml:space="preserve">actele legislative. Astfel, peste </w:t>
      </w:r>
      <w:r w:rsidR="00E407F7" w:rsidRPr="00985EBC">
        <w:rPr>
          <w:rFonts w:asciiTheme="majorHAnsi" w:hAnsiTheme="majorHAnsi"/>
          <w:sz w:val="24"/>
          <w:szCs w:val="24"/>
          <w:lang w:val="ro-RO"/>
        </w:rPr>
        <w:t xml:space="preserve"> </w:t>
      </w:r>
      <w:r w:rsidRPr="00985EBC">
        <w:rPr>
          <w:rFonts w:asciiTheme="majorHAnsi" w:hAnsiTheme="majorHAnsi"/>
          <w:sz w:val="24"/>
          <w:szCs w:val="24"/>
          <w:lang w:val="ro-RO"/>
        </w:rPr>
        <w:t xml:space="preserve">48% </w:t>
      </w:r>
      <w:r w:rsidR="00E407F7" w:rsidRPr="00985EBC">
        <w:rPr>
          <w:rFonts w:asciiTheme="majorHAnsi" w:hAnsiTheme="majorHAnsi"/>
          <w:sz w:val="24"/>
          <w:szCs w:val="24"/>
          <w:lang w:val="ro-RO"/>
        </w:rPr>
        <w:t xml:space="preserve">(37 de proiecte) </w:t>
      </w:r>
      <w:r w:rsidRPr="00985EBC">
        <w:rPr>
          <w:rFonts w:asciiTheme="majorHAnsi" w:hAnsiTheme="majorHAnsi"/>
          <w:sz w:val="24"/>
          <w:szCs w:val="24"/>
          <w:lang w:val="ro-RO"/>
        </w:rPr>
        <w:t>din notele informative la proiectele de legi conţineau o argumentare suficientă a promovării proiectului de lege. În rest, fie argumentarea nu era suficientă (aproape 47%</w:t>
      </w:r>
      <w:r w:rsidR="00E407F7" w:rsidRPr="00985EBC">
        <w:rPr>
          <w:rFonts w:asciiTheme="majorHAnsi" w:hAnsiTheme="majorHAnsi"/>
          <w:sz w:val="24"/>
          <w:szCs w:val="24"/>
          <w:lang w:val="ro-RO"/>
        </w:rPr>
        <w:t xml:space="preserve"> - 37 proiecte</w:t>
      </w:r>
      <w:r w:rsidRPr="00985EBC">
        <w:rPr>
          <w:rFonts w:asciiTheme="majorHAnsi" w:hAnsiTheme="majorHAnsi"/>
          <w:sz w:val="24"/>
          <w:szCs w:val="24"/>
          <w:lang w:val="ro-RO"/>
        </w:rPr>
        <w:t>), fie aceasta, în general, lipsea (peste 5%</w:t>
      </w:r>
      <w:r w:rsidR="00E407F7" w:rsidRPr="00985EBC">
        <w:rPr>
          <w:rFonts w:asciiTheme="majorHAnsi" w:hAnsiTheme="majorHAnsi"/>
          <w:sz w:val="24"/>
          <w:szCs w:val="24"/>
          <w:lang w:val="ro-RO"/>
        </w:rPr>
        <w:t xml:space="preserve"> - 4 proiecte</w:t>
      </w:r>
      <w:r w:rsidRPr="00985EBC">
        <w:rPr>
          <w:rFonts w:asciiTheme="majorHAnsi" w:hAnsiTheme="majorHAnsi"/>
          <w:sz w:val="24"/>
          <w:szCs w:val="24"/>
          <w:lang w:val="ro-RO"/>
        </w:rPr>
        <w:t xml:space="preserve">). </w:t>
      </w:r>
    </w:p>
    <w:p w:rsidR="00906A27" w:rsidRPr="00985EBC" w:rsidRDefault="00906A27" w:rsidP="00851FE5">
      <w:pPr>
        <w:jc w:val="left"/>
        <w:rPr>
          <w:lang w:val="ro-RO"/>
        </w:rPr>
      </w:pPr>
      <w:r w:rsidRPr="00985EBC">
        <w:rPr>
          <w:rFonts w:asciiTheme="majorHAnsi" w:eastAsia="Times New Roman" w:hAnsiTheme="majorHAnsi" w:cs="Times New Roman"/>
          <w:sz w:val="24"/>
          <w:szCs w:val="24"/>
          <w:lang w:val="ro-RO" w:eastAsia="ru-RU"/>
        </w:rPr>
        <w:lastRenderedPageBreak/>
        <w:br/>
      </w:r>
      <w:r w:rsidR="00E42CCE" w:rsidRPr="00985EBC">
        <w:rPr>
          <w:rFonts w:asciiTheme="majorHAnsi" w:eastAsia="Times New Roman" w:hAnsiTheme="majorHAnsi" w:cs="Times New Roman"/>
          <w:b/>
          <w:i/>
          <w:sz w:val="16"/>
          <w:szCs w:val="16"/>
          <w:lang w:val="ro-RO" w:eastAsia="ru-RU"/>
        </w:rPr>
        <w:t xml:space="preserve">Figura </w:t>
      </w:r>
      <w:r w:rsidR="00E407F7" w:rsidRPr="00985EBC">
        <w:rPr>
          <w:rFonts w:asciiTheme="majorHAnsi" w:eastAsia="Times New Roman" w:hAnsiTheme="majorHAnsi" w:cs="Times New Roman"/>
          <w:b/>
          <w:i/>
          <w:sz w:val="16"/>
          <w:szCs w:val="16"/>
          <w:lang w:val="ro-RO" w:eastAsia="ru-RU"/>
        </w:rPr>
        <w:t>4</w:t>
      </w:r>
      <w:r w:rsidR="00E42CCE" w:rsidRPr="00985EBC">
        <w:rPr>
          <w:rFonts w:asciiTheme="majorHAnsi" w:eastAsia="Times New Roman" w:hAnsiTheme="majorHAnsi" w:cs="Times New Roman"/>
          <w:b/>
          <w:i/>
          <w:sz w:val="16"/>
          <w:szCs w:val="16"/>
          <w:lang w:val="ro-RO" w:eastAsia="ru-RU"/>
        </w:rPr>
        <w:t>.</w:t>
      </w:r>
      <w:r w:rsidR="00E407F7" w:rsidRPr="00985EBC">
        <w:rPr>
          <w:rFonts w:asciiTheme="majorHAnsi" w:eastAsia="Times New Roman" w:hAnsiTheme="majorHAnsi" w:cs="Times New Roman"/>
          <w:b/>
          <w:i/>
          <w:sz w:val="16"/>
          <w:szCs w:val="16"/>
          <w:lang w:val="ro-RO" w:eastAsia="ru-RU"/>
        </w:rPr>
        <w:t xml:space="preserve"> </w:t>
      </w:r>
      <w:r w:rsidR="00E42CCE" w:rsidRPr="00985EBC">
        <w:rPr>
          <w:rFonts w:asciiTheme="majorHAnsi" w:eastAsia="Times New Roman" w:hAnsiTheme="majorHAnsi" w:cs="Times New Roman"/>
          <w:i/>
          <w:sz w:val="16"/>
          <w:szCs w:val="16"/>
          <w:lang w:val="ro-RO" w:eastAsia="ru-RU"/>
        </w:rPr>
        <w:t>Suficienţa argumentării proiectelor</w:t>
      </w:r>
    </w:p>
    <w:p w:rsidR="00B57AC5" w:rsidRPr="00985EBC" w:rsidRDefault="00343F61" w:rsidP="00B57AC5">
      <w:pPr>
        <w:rPr>
          <w:rFonts w:ascii="Times New Roman" w:eastAsia="Times New Roman" w:hAnsi="Times New Roman" w:cs="Times New Roman"/>
          <w:sz w:val="24"/>
          <w:szCs w:val="24"/>
          <w:lang w:val="ro-RO" w:eastAsia="ru-RU"/>
        </w:rPr>
      </w:pPr>
      <w:r w:rsidRPr="00985EBC">
        <w:rPr>
          <w:noProof/>
          <w:lang w:eastAsia="ru-RU"/>
        </w:rPr>
        <w:drawing>
          <wp:inline distT="0" distB="0" distL="0" distR="0">
            <wp:extent cx="5946305" cy="2428475"/>
            <wp:effectExtent l="76200" t="38100" r="16345" b="9925"/>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B4BA3" w:rsidRPr="00985EBC" w:rsidRDefault="003B4BA3" w:rsidP="00B57AC5">
      <w:pPr>
        <w:rPr>
          <w:rFonts w:asciiTheme="majorHAnsi" w:eastAsia="Times New Roman" w:hAnsiTheme="majorHAnsi" w:cs="Times New Roman"/>
          <w:sz w:val="24"/>
          <w:szCs w:val="24"/>
          <w:lang w:val="ro-RO" w:eastAsia="ru-RU"/>
        </w:rPr>
      </w:pPr>
    </w:p>
    <w:p w:rsidR="00B57AC5" w:rsidRPr="007C7079" w:rsidRDefault="00B57AC5" w:rsidP="00B57AC5">
      <w:pPr>
        <w:rPr>
          <w:rFonts w:asciiTheme="majorHAnsi" w:eastAsia="Times New Roman" w:hAnsiTheme="majorHAnsi" w:cs="Times New Roman"/>
          <w:color w:val="000000"/>
          <w:sz w:val="24"/>
          <w:szCs w:val="24"/>
          <w:lang w:val="ro-RO" w:eastAsia="ru-RU"/>
        </w:rPr>
      </w:pPr>
      <w:r w:rsidRPr="007C7079">
        <w:rPr>
          <w:rFonts w:asciiTheme="majorHAnsi" w:eastAsia="Times New Roman" w:hAnsiTheme="majorHAnsi" w:cs="Times New Roman"/>
          <w:sz w:val="24"/>
          <w:szCs w:val="24"/>
          <w:lang w:val="ro-RO" w:eastAsia="ru-RU"/>
        </w:rPr>
        <w:t xml:space="preserve">Din figura </w:t>
      </w:r>
      <w:r w:rsidR="00E407F7" w:rsidRPr="007C7079">
        <w:rPr>
          <w:rFonts w:asciiTheme="majorHAnsi" w:eastAsia="Times New Roman" w:hAnsiTheme="majorHAnsi" w:cs="Times New Roman"/>
          <w:sz w:val="24"/>
          <w:szCs w:val="24"/>
          <w:lang w:val="ro-RO" w:eastAsia="ru-RU"/>
        </w:rPr>
        <w:t>5</w:t>
      </w:r>
      <w:r w:rsidRPr="007C7079">
        <w:rPr>
          <w:rFonts w:asciiTheme="majorHAnsi" w:eastAsia="Times New Roman" w:hAnsiTheme="majorHAnsi" w:cs="Times New Roman"/>
          <w:sz w:val="24"/>
          <w:szCs w:val="24"/>
          <w:lang w:val="ro-RO" w:eastAsia="ru-RU"/>
        </w:rPr>
        <w:t>, observăm că doar în Domeniul</w:t>
      </w:r>
      <w:r w:rsidRPr="007C7079">
        <w:rPr>
          <w:rFonts w:asciiTheme="majorHAnsi" w:eastAsia="Times New Roman" w:hAnsiTheme="majorHAnsi" w:cs="Times New Roman"/>
          <w:color w:val="000000"/>
          <w:sz w:val="24"/>
          <w:szCs w:val="24"/>
          <w:lang w:val="ro-RO" w:eastAsia="ru-RU"/>
        </w:rPr>
        <w:t xml:space="preserve"> „Justiţie şi afaceri interne, drepturile şi libertăţile omului” ponderea notelor informative la proiectele de legi, care conţin o argumentare suficientă este mai mare (62%) de aproape două ori decît ponderea notelor informative, care nu conţin o argumentare suficientă (35%).</w:t>
      </w:r>
      <w:r w:rsidR="002213BF" w:rsidRPr="007C7079">
        <w:rPr>
          <w:rFonts w:asciiTheme="majorHAnsi" w:eastAsia="Times New Roman" w:hAnsiTheme="majorHAnsi" w:cs="Times New Roman"/>
          <w:color w:val="000000"/>
          <w:sz w:val="24"/>
          <w:szCs w:val="24"/>
          <w:lang w:val="ro-RO" w:eastAsia="ru-RU"/>
        </w:rPr>
        <w:t xml:space="preserve"> Această situaţie poate fi explicată prin aceea că autori nemijlociţi ai proiectelor de legi, care reglementează Domeniul „Justiţie şi afaceri interne, drepturile şi libertăţile omului” sunt autorităţile care deţin o experienţă instituţională în domeniul creaţiei legislative. La celălalt pol al „topului” suficienţei argumentării notelor informative este Domeniul „Buget şi finanţe”  în care ponderea notelor informative cu o argumentare insuficientă (67%) este de aproape 4 ori mai mare</w:t>
      </w:r>
      <w:r w:rsidR="00E407F7" w:rsidRPr="007C7079">
        <w:rPr>
          <w:rFonts w:asciiTheme="majorHAnsi" w:eastAsia="Times New Roman" w:hAnsiTheme="majorHAnsi" w:cs="Times New Roman"/>
          <w:color w:val="000000"/>
          <w:sz w:val="24"/>
          <w:szCs w:val="24"/>
          <w:lang w:val="ro-RO" w:eastAsia="ru-RU"/>
        </w:rPr>
        <w:t>,</w:t>
      </w:r>
      <w:r w:rsidR="002213BF" w:rsidRPr="007C7079">
        <w:rPr>
          <w:rFonts w:asciiTheme="majorHAnsi" w:eastAsia="Times New Roman" w:hAnsiTheme="majorHAnsi" w:cs="Times New Roman"/>
          <w:color w:val="000000"/>
          <w:sz w:val="24"/>
          <w:szCs w:val="24"/>
          <w:lang w:val="ro-RO" w:eastAsia="ru-RU"/>
        </w:rPr>
        <w:t xml:space="preserve"> decît cea a notelor informative cu o argumentare suficientă (17%).</w:t>
      </w:r>
    </w:p>
    <w:p w:rsidR="00E407F7" w:rsidRPr="00985EBC" w:rsidRDefault="00E407F7" w:rsidP="00B57AC5">
      <w:pPr>
        <w:rPr>
          <w:rFonts w:asciiTheme="majorHAnsi" w:eastAsia="Times New Roman" w:hAnsiTheme="majorHAnsi" w:cs="Times New Roman"/>
          <w:b/>
          <w:i/>
          <w:sz w:val="16"/>
          <w:szCs w:val="16"/>
          <w:lang w:val="ro-RO" w:eastAsia="ru-RU"/>
        </w:rPr>
      </w:pPr>
    </w:p>
    <w:p w:rsidR="002213BF" w:rsidRPr="00985EBC" w:rsidRDefault="00064667" w:rsidP="007C7079">
      <w:pPr>
        <w:jc w:val="left"/>
        <w:rPr>
          <w:lang w:val="ro-RO"/>
        </w:rPr>
      </w:pPr>
      <w:r w:rsidRPr="00985EBC">
        <w:rPr>
          <w:rFonts w:asciiTheme="majorHAnsi" w:eastAsia="Times New Roman" w:hAnsiTheme="majorHAnsi" w:cs="Times New Roman"/>
          <w:b/>
          <w:i/>
          <w:sz w:val="16"/>
          <w:szCs w:val="16"/>
          <w:lang w:val="ro-RO" w:eastAsia="ru-RU"/>
        </w:rPr>
        <w:t xml:space="preserve">                Figura </w:t>
      </w:r>
      <w:r w:rsidR="00E407F7" w:rsidRPr="00985EBC">
        <w:rPr>
          <w:rFonts w:asciiTheme="majorHAnsi" w:eastAsia="Times New Roman" w:hAnsiTheme="majorHAnsi" w:cs="Times New Roman"/>
          <w:b/>
          <w:i/>
          <w:sz w:val="16"/>
          <w:szCs w:val="16"/>
          <w:lang w:val="ro-RO" w:eastAsia="ru-RU"/>
        </w:rPr>
        <w:t>5</w:t>
      </w:r>
      <w:r w:rsidRPr="00985EBC">
        <w:rPr>
          <w:rFonts w:asciiTheme="majorHAnsi" w:eastAsia="Times New Roman" w:hAnsiTheme="majorHAnsi" w:cs="Times New Roman"/>
          <w:b/>
          <w:i/>
          <w:sz w:val="16"/>
          <w:szCs w:val="16"/>
          <w:lang w:val="ro-RO" w:eastAsia="ru-RU"/>
        </w:rPr>
        <w:t>.</w:t>
      </w:r>
      <w:r w:rsidR="00E407F7" w:rsidRPr="00985EBC">
        <w:rPr>
          <w:rFonts w:asciiTheme="majorHAnsi" w:eastAsia="Times New Roman" w:hAnsiTheme="majorHAnsi" w:cs="Times New Roman"/>
          <w:b/>
          <w:i/>
          <w:sz w:val="16"/>
          <w:szCs w:val="16"/>
          <w:lang w:val="ro-RO" w:eastAsia="ru-RU"/>
        </w:rPr>
        <w:t xml:space="preserve"> </w:t>
      </w:r>
      <w:r w:rsidRPr="00985EBC">
        <w:rPr>
          <w:rFonts w:asciiTheme="majorHAnsi" w:eastAsia="Times New Roman" w:hAnsiTheme="majorHAnsi" w:cs="Times New Roman"/>
          <w:i/>
          <w:sz w:val="16"/>
          <w:szCs w:val="16"/>
          <w:lang w:val="ro-RO" w:eastAsia="ru-RU"/>
        </w:rPr>
        <w:t>Suficienţa argumentării proiectelor după domenii</w:t>
      </w:r>
      <w:r w:rsidR="00EF2E6B" w:rsidRPr="00985EBC">
        <w:rPr>
          <w:rFonts w:ascii="Times New Roman" w:eastAsia="Times New Roman" w:hAnsi="Times New Roman" w:cs="Times New Roman"/>
          <w:noProof/>
          <w:sz w:val="24"/>
          <w:szCs w:val="24"/>
          <w:lang w:eastAsia="ru-RU"/>
        </w:rPr>
        <w:drawing>
          <wp:inline distT="0" distB="0" distL="0" distR="0">
            <wp:extent cx="5946305" cy="3788549"/>
            <wp:effectExtent l="76200" t="38100" r="16345" b="21451"/>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58D6" w:rsidRPr="00985EBC" w:rsidRDefault="00B958D6" w:rsidP="00EF2E6B">
      <w:pPr>
        <w:ind w:firstLine="567"/>
        <w:jc w:val="center"/>
        <w:rPr>
          <w:rFonts w:ascii="Times New Roman" w:eastAsia="Times New Roman" w:hAnsi="Times New Roman" w:cs="Times New Roman"/>
          <w:sz w:val="24"/>
          <w:szCs w:val="24"/>
          <w:lang w:val="ro-RO" w:eastAsia="ru-RU"/>
        </w:rPr>
      </w:pPr>
    </w:p>
    <w:p w:rsidR="00B958D6" w:rsidRPr="00985EBC" w:rsidRDefault="00B958D6" w:rsidP="00906A27">
      <w:pPr>
        <w:ind w:firstLine="567"/>
        <w:rPr>
          <w:rFonts w:ascii="Times New Roman" w:eastAsia="Times New Roman" w:hAnsi="Times New Roman" w:cs="Times New Roman"/>
          <w:sz w:val="24"/>
          <w:szCs w:val="24"/>
          <w:lang w:val="ro-RO" w:eastAsia="ru-RU"/>
        </w:rPr>
      </w:pPr>
    </w:p>
    <w:p w:rsidR="00B958D6" w:rsidRDefault="00AC7CD4" w:rsidP="00AC7CD4">
      <w:pPr>
        <w:rPr>
          <w:rFonts w:asciiTheme="majorHAnsi" w:hAnsiTheme="majorHAnsi"/>
          <w:sz w:val="24"/>
          <w:szCs w:val="24"/>
          <w:lang w:val="ro-RO"/>
        </w:rPr>
      </w:pPr>
      <w:r w:rsidRPr="00985EBC">
        <w:rPr>
          <w:rFonts w:asciiTheme="majorHAnsi" w:eastAsia="Times New Roman" w:hAnsiTheme="majorHAnsi" w:cs="Times New Roman"/>
          <w:sz w:val="24"/>
          <w:szCs w:val="24"/>
          <w:lang w:val="ro-RO" w:eastAsia="ru-RU"/>
        </w:rPr>
        <w:t>Cît priveşte autorii iniţiativelor legislative, observăm că cel mai bine argumentează proiectele de legi Guvernul. Doar în cazul acestui subiect cu iniţiativă legislativă numărul notelor informative cu o argumentare suficientă (59%) este mai mare decît cel al notelor informative cu o argumentare insuficientă (37%).</w:t>
      </w:r>
      <w:r w:rsidR="00B273E5" w:rsidRPr="00985EBC">
        <w:rPr>
          <w:rFonts w:asciiTheme="majorHAnsi" w:eastAsia="Times New Roman" w:hAnsiTheme="majorHAnsi" w:cs="Times New Roman"/>
          <w:sz w:val="24"/>
          <w:szCs w:val="24"/>
          <w:lang w:val="ro-RO" w:eastAsia="ru-RU"/>
        </w:rPr>
        <w:t xml:space="preserve"> Cît priveşte deputaţii, ponderea notelor informative cu o argumentare insuficientă (70%) este de peste două ori mai mare</w:t>
      </w:r>
      <w:r w:rsidR="00E407F7" w:rsidRPr="00985EBC">
        <w:rPr>
          <w:rFonts w:asciiTheme="majorHAnsi" w:eastAsia="Times New Roman" w:hAnsiTheme="majorHAnsi" w:cs="Times New Roman"/>
          <w:sz w:val="24"/>
          <w:szCs w:val="24"/>
          <w:lang w:val="ro-RO" w:eastAsia="ru-RU"/>
        </w:rPr>
        <w:t>,</w:t>
      </w:r>
      <w:r w:rsidR="00B273E5" w:rsidRPr="00985EBC">
        <w:rPr>
          <w:rFonts w:asciiTheme="majorHAnsi" w:eastAsia="Times New Roman" w:hAnsiTheme="majorHAnsi" w:cs="Times New Roman"/>
          <w:sz w:val="24"/>
          <w:szCs w:val="24"/>
          <w:lang w:val="ro-RO" w:eastAsia="ru-RU"/>
        </w:rPr>
        <w:t xml:space="preserve"> decît cea </w:t>
      </w:r>
      <w:r w:rsidR="00B273E5" w:rsidRPr="00985EBC">
        <w:rPr>
          <w:rFonts w:asciiTheme="majorHAnsi" w:eastAsia="Times New Roman" w:hAnsiTheme="majorHAnsi" w:cs="Times New Roman"/>
          <w:sz w:val="24"/>
          <w:szCs w:val="24"/>
          <w:lang w:val="ro-RO" w:eastAsia="ru-RU"/>
        </w:rPr>
        <w:lastRenderedPageBreak/>
        <w:t>a notelor informative cu o argumentare suficientă (26%), iar în</w:t>
      </w:r>
      <w:r w:rsidR="00E407F7" w:rsidRPr="00985EBC">
        <w:rPr>
          <w:rFonts w:asciiTheme="majorHAnsi" w:eastAsia="Times New Roman" w:hAnsiTheme="majorHAnsi" w:cs="Times New Roman"/>
          <w:sz w:val="24"/>
          <w:szCs w:val="24"/>
          <w:lang w:val="ro-RO" w:eastAsia="ru-RU"/>
        </w:rPr>
        <w:t xml:space="preserve"> </w:t>
      </w:r>
      <w:r w:rsidR="00B273E5" w:rsidRPr="00985EBC">
        <w:rPr>
          <w:rFonts w:asciiTheme="majorHAnsi" w:eastAsia="Times New Roman" w:hAnsiTheme="majorHAnsi" w:cs="Times New Roman"/>
          <w:sz w:val="24"/>
          <w:szCs w:val="24"/>
          <w:lang w:val="ro-RO" w:eastAsia="ru-RU"/>
        </w:rPr>
        <w:t>cazul subi</w:t>
      </w:r>
      <w:r w:rsidR="00E407F7" w:rsidRPr="00985EBC">
        <w:rPr>
          <w:rFonts w:asciiTheme="majorHAnsi" w:eastAsia="Times New Roman" w:hAnsiTheme="majorHAnsi" w:cs="Times New Roman"/>
          <w:sz w:val="24"/>
          <w:szCs w:val="24"/>
          <w:lang w:val="ro-RO" w:eastAsia="ru-RU"/>
        </w:rPr>
        <w:t>e</w:t>
      </w:r>
      <w:r w:rsidR="00B273E5" w:rsidRPr="00985EBC">
        <w:rPr>
          <w:rFonts w:asciiTheme="majorHAnsi" w:eastAsia="Times New Roman" w:hAnsiTheme="majorHAnsi" w:cs="Times New Roman"/>
          <w:sz w:val="24"/>
          <w:szCs w:val="24"/>
          <w:lang w:val="ro-RO" w:eastAsia="ru-RU"/>
        </w:rPr>
        <w:t xml:space="preserve">ctului cu drept de iniţiativă legislativă -  </w:t>
      </w:r>
      <w:r w:rsidR="00B273E5" w:rsidRPr="00985EBC">
        <w:rPr>
          <w:rFonts w:asciiTheme="majorHAnsi" w:hAnsiTheme="majorHAnsi"/>
          <w:sz w:val="24"/>
          <w:szCs w:val="24"/>
          <w:lang w:val="ro-RO"/>
        </w:rPr>
        <w:t>Adunarea Populară a unităţii teritoriale autonome Găgăuzia, în general, nu s-a înregistrat nici un proiect de lege</w:t>
      </w:r>
      <w:r w:rsidR="001D01F7" w:rsidRPr="00985EBC">
        <w:rPr>
          <w:rFonts w:asciiTheme="majorHAnsi" w:hAnsiTheme="majorHAnsi"/>
          <w:sz w:val="24"/>
          <w:szCs w:val="24"/>
          <w:lang w:val="ro-RO"/>
        </w:rPr>
        <w:t>,</w:t>
      </w:r>
      <w:r w:rsidR="00B273E5" w:rsidRPr="00985EBC">
        <w:rPr>
          <w:rFonts w:asciiTheme="majorHAnsi" w:hAnsiTheme="majorHAnsi"/>
          <w:sz w:val="24"/>
          <w:szCs w:val="24"/>
          <w:lang w:val="ro-RO"/>
        </w:rPr>
        <w:t xml:space="preserve"> care ar conţine o argumentare suficientă a promovării proiectului.</w:t>
      </w:r>
    </w:p>
    <w:p w:rsidR="00851FE5" w:rsidRDefault="00851FE5" w:rsidP="00AC7CD4">
      <w:pPr>
        <w:rPr>
          <w:rFonts w:asciiTheme="majorHAnsi" w:hAnsiTheme="majorHAnsi"/>
          <w:sz w:val="24"/>
          <w:szCs w:val="24"/>
          <w:lang w:val="ro-RO"/>
        </w:rPr>
      </w:pPr>
    </w:p>
    <w:p w:rsidR="00851FE5" w:rsidRDefault="00851FE5" w:rsidP="00AC7CD4">
      <w:pPr>
        <w:rPr>
          <w:rFonts w:asciiTheme="majorHAnsi" w:hAnsiTheme="majorHAnsi"/>
          <w:sz w:val="24"/>
          <w:szCs w:val="24"/>
          <w:lang w:val="ro-RO"/>
        </w:rPr>
      </w:pPr>
    </w:p>
    <w:p w:rsidR="00851FE5" w:rsidRDefault="00851FE5" w:rsidP="00AC7CD4">
      <w:pPr>
        <w:rPr>
          <w:rFonts w:asciiTheme="majorHAnsi" w:hAnsiTheme="majorHAnsi"/>
          <w:sz w:val="24"/>
          <w:szCs w:val="24"/>
          <w:lang w:val="ro-RO"/>
        </w:rPr>
      </w:pPr>
    </w:p>
    <w:p w:rsidR="00851FE5" w:rsidRDefault="00851FE5" w:rsidP="00AC7CD4">
      <w:pPr>
        <w:rPr>
          <w:rFonts w:asciiTheme="majorHAnsi" w:hAnsiTheme="majorHAnsi"/>
          <w:sz w:val="24"/>
          <w:szCs w:val="24"/>
          <w:lang w:val="ro-RO"/>
        </w:rPr>
      </w:pPr>
    </w:p>
    <w:p w:rsidR="00851FE5" w:rsidRDefault="00851FE5" w:rsidP="00AC7CD4">
      <w:pPr>
        <w:rPr>
          <w:rFonts w:asciiTheme="majorHAnsi" w:hAnsiTheme="majorHAnsi"/>
          <w:sz w:val="24"/>
          <w:szCs w:val="24"/>
          <w:lang w:val="ro-RO"/>
        </w:rPr>
      </w:pPr>
    </w:p>
    <w:p w:rsidR="00851FE5" w:rsidRDefault="00851FE5" w:rsidP="00AC7CD4">
      <w:pPr>
        <w:rPr>
          <w:rFonts w:asciiTheme="majorHAnsi" w:hAnsiTheme="majorHAnsi"/>
          <w:sz w:val="24"/>
          <w:szCs w:val="24"/>
          <w:lang w:val="ro-RO"/>
        </w:rPr>
      </w:pPr>
    </w:p>
    <w:p w:rsidR="00851FE5" w:rsidRDefault="00851FE5" w:rsidP="00AC7CD4">
      <w:pPr>
        <w:rPr>
          <w:rFonts w:asciiTheme="majorHAnsi" w:hAnsiTheme="majorHAnsi"/>
          <w:sz w:val="24"/>
          <w:szCs w:val="24"/>
          <w:lang w:val="ro-RO"/>
        </w:rPr>
      </w:pPr>
    </w:p>
    <w:p w:rsidR="0095264A" w:rsidRPr="00985EBC" w:rsidRDefault="00DF4FFB">
      <w:pPr>
        <w:rPr>
          <w:lang w:val="ro-RO"/>
        </w:rPr>
      </w:pPr>
      <w:r w:rsidRPr="00985EBC">
        <w:rPr>
          <w:rFonts w:asciiTheme="majorHAnsi" w:eastAsia="Times New Roman" w:hAnsiTheme="majorHAnsi" w:cs="Times New Roman"/>
          <w:b/>
          <w:i/>
          <w:sz w:val="16"/>
          <w:szCs w:val="16"/>
          <w:lang w:val="ro-RO" w:eastAsia="ru-RU"/>
        </w:rPr>
        <w:t>Figura</w:t>
      </w:r>
      <w:r w:rsidR="00E407F7" w:rsidRPr="00985EBC">
        <w:rPr>
          <w:rFonts w:asciiTheme="majorHAnsi" w:eastAsia="Times New Roman" w:hAnsiTheme="majorHAnsi" w:cs="Times New Roman"/>
          <w:b/>
          <w:i/>
          <w:sz w:val="16"/>
          <w:szCs w:val="16"/>
          <w:lang w:val="ro-RO" w:eastAsia="ru-RU"/>
        </w:rPr>
        <w:t xml:space="preserve"> 6</w:t>
      </w:r>
      <w:r w:rsidRPr="00985EBC">
        <w:rPr>
          <w:rFonts w:asciiTheme="majorHAnsi" w:eastAsia="Times New Roman" w:hAnsiTheme="majorHAnsi" w:cs="Times New Roman"/>
          <w:b/>
          <w:i/>
          <w:sz w:val="16"/>
          <w:szCs w:val="16"/>
          <w:lang w:val="ro-RO" w:eastAsia="ru-RU"/>
        </w:rPr>
        <w:t>.</w:t>
      </w:r>
      <w:r w:rsidR="00E407F7" w:rsidRPr="00985EBC">
        <w:rPr>
          <w:rFonts w:asciiTheme="majorHAnsi" w:eastAsia="Times New Roman" w:hAnsiTheme="majorHAnsi" w:cs="Times New Roman"/>
          <w:b/>
          <w:i/>
          <w:sz w:val="16"/>
          <w:szCs w:val="16"/>
          <w:lang w:val="ro-RO" w:eastAsia="ru-RU"/>
        </w:rPr>
        <w:t xml:space="preserve"> </w:t>
      </w:r>
      <w:r w:rsidRPr="00985EBC">
        <w:rPr>
          <w:rFonts w:asciiTheme="majorHAnsi" w:eastAsia="Times New Roman" w:hAnsiTheme="majorHAnsi" w:cs="Times New Roman"/>
          <w:i/>
          <w:sz w:val="16"/>
          <w:szCs w:val="16"/>
          <w:lang w:val="ro-RO" w:eastAsia="ru-RU"/>
        </w:rPr>
        <w:t>Suficienţa argumentării proiectelor conform autorilor iniţiativelor legislative</w:t>
      </w:r>
    </w:p>
    <w:p w:rsidR="00906A27" w:rsidRPr="00985EBC" w:rsidRDefault="00DF4FFB" w:rsidP="007C7079">
      <w:pPr>
        <w:rPr>
          <w:lang w:val="ro-RO"/>
        </w:rPr>
      </w:pPr>
      <w:r w:rsidRPr="00985EBC">
        <w:rPr>
          <w:rFonts w:ascii="Tahoma" w:eastAsia="Times New Roman" w:hAnsi="Tahoma" w:cs="Tahoma"/>
          <w:noProof/>
          <w:sz w:val="18"/>
          <w:szCs w:val="18"/>
          <w:lang w:eastAsia="ru-RU"/>
        </w:rPr>
        <w:drawing>
          <wp:inline distT="0" distB="0" distL="0" distR="0">
            <wp:extent cx="6019800" cy="2314575"/>
            <wp:effectExtent l="76200" t="38100" r="19050" b="9525"/>
            <wp:docPr id="20"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906A27" w:rsidRPr="00985EBC">
        <w:rPr>
          <w:rFonts w:ascii="Tahoma" w:eastAsia="Times New Roman" w:hAnsi="Tahoma" w:cs="Tahoma"/>
          <w:sz w:val="18"/>
          <w:szCs w:val="18"/>
          <w:lang w:val="ro-RO" w:eastAsia="ru-RU"/>
        </w:rPr>
        <w:br/>
      </w:r>
    </w:p>
    <w:p w:rsidR="0056423B" w:rsidRPr="00985EBC" w:rsidRDefault="0056423B" w:rsidP="001D01F7">
      <w:pPr>
        <w:rPr>
          <w:rFonts w:asciiTheme="majorHAnsi" w:hAnsiTheme="majorHAnsi"/>
          <w:sz w:val="24"/>
          <w:szCs w:val="24"/>
          <w:lang w:val="ro-RO"/>
        </w:rPr>
      </w:pPr>
      <w:r w:rsidRPr="00985EBC">
        <w:rPr>
          <w:rFonts w:asciiTheme="majorHAnsi" w:hAnsiTheme="majorHAnsi"/>
          <w:sz w:val="24"/>
          <w:szCs w:val="24"/>
          <w:lang w:val="ro-RO"/>
        </w:rPr>
        <w:t xml:space="preserve">În legătură cu analiza notelor de fundamentare la proiectele de legi expertizate se impun două constatări:  </w:t>
      </w:r>
    </w:p>
    <w:p w:rsidR="001D01F7" w:rsidRPr="00985EBC" w:rsidRDefault="0056423B" w:rsidP="008A3B8F">
      <w:pPr>
        <w:pStyle w:val="ListParagraph"/>
        <w:numPr>
          <w:ilvl w:val="0"/>
          <w:numId w:val="18"/>
        </w:numPr>
        <w:jc w:val="both"/>
        <w:rPr>
          <w:rFonts w:asciiTheme="majorHAnsi" w:hAnsiTheme="majorHAnsi"/>
          <w:lang w:val="ro-RO"/>
        </w:rPr>
      </w:pPr>
      <w:r w:rsidRPr="00985EBC">
        <w:rPr>
          <w:rFonts w:asciiTheme="majorHAnsi" w:hAnsiTheme="majorHAnsi"/>
          <w:lang w:val="ro-RO"/>
        </w:rPr>
        <w:t xml:space="preserve">nici una din notele informative la proiectele de legi nu conţine </w:t>
      </w:r>
      <w:r w:rsidR="001D01F7" w:rsidRPr="00985EBC">
        <w:rPr>
          <w:rFonts w:asciiTheme="majorHAnsi" w:hAnsiTheme="majorHAnsi"/>
          <w:lang w:val="ro-RO"/>
        </w:rPr>
        <w:t>informația privind compatibilitatea proiectului de lege cu cadrul legal comunitar</w:t>
      </w:r>
      <w:r w:rsidRPr="00985EBC">
        <w:rPr>
          <w:rFonts w:asciiTheme="majorHAnsi" w:hAnsiTheme="majorHAnsi"/>
          <w:lang w:val="ro-RO"/>
        </w:rPr>
        <w:t>, care</w:t>
      </w:r>
      <w:r w:rsidR="001D01F7" w:rsidRPr="00985EBC">
        <w:rPr>
          <w:rFonts w:asciiTheme="majorHAnsi" w:hAnsiTheme="majorHAnsi"/>
          <w:lang w:val="ro-RO"/>
        </w:rPr>
        <w:t xml:space="preserve"> urma a fi inserată în Tabelul de concordanță, după modelul stabilit în anexa la Regulamentul privind mecanismul de armonizare a legislaţiei Republicii Moldova cu legislaţia comunitară, aprobat prin Hotărîrea Guvernului nr.1345 din 24 noiembrie 2006 și utilizat pentru a demonstra compatibilitatea proiectului de lege naţional cu legislaţia comunitară, care însoţeşte în mod obligatoriu proiectul actului legislativ pe întreg parcursul circulaţiei sale, pînă la adoptarea sa de către Parlament.</w:t>
      </w:r>
      <w:r w:rsidRPr="00985EBC">
        <w:rPr>
          <w:rFonts w:asciiTheme="majorHAnsi" w:hAnsiTheme="majorHAnsi"/>
          <w:lang w:val="ro-RO"/>
        </w:rPr>
        <w:t xml:space="preserve"> </w:t>
      </w:r>
      <w:r w:rsidR="001D01F7" w:rsidRPr="00985EBC">
        <w:rPr>
          <w:rFonts w:asciiTheme="majorHAnsi" w:hAnsiTheme="majorHAnsi"/>
          <w:lang w:val="ro-RO"/>
        </w:rPr>
        <w:t xml:space="preserve">De asemenea, nu </w:t>
      </w:r>
      <w:r w:rsidRPr="00985EBC">
        <w:rPr>
          <w:rFonts w:asciiTheme="majorHAnsi" w:hAnsiTheme="majorHAnsi"/>
          <w:lang w:val="ro-RO"/>
        </w:rPr>
        <w:t>sînt</w:t>
      </w:r>
      <w:r w:rsidR="001D01F7" w:rsidRPr="00985EBC">
        <w:rPr>
          <w:rFonts w:asciiTheme="majorHAnsi" w:hAnsiTheme="majorHAnsi"/>
          <w:lang w:val="ro-RO"/>
        </w:rPr>
        <w:t xml:space="preserve"> respectate nici prevederile lit. d) alin. (2) al art. 23 din Legea privind actele legislative nr. 780-XV din 27 decembrie 2001, care statuează că dosarul de însoțire a variantei finale a proiectului de act legislativ va cuprinde nota informativă care </w:t>
      </w:r>
      <w:r w:rsidRPr="00985EBC">
        <w:rPr>
          <w:rFonts w:asciiTheme="majorHAnsi" w:hAnsiTheme="majorHAnsi"/>
          <w:lang w:val="ro-RO"/>
        </w:rPr>
        <w:t xml:space="preserve">trebuie să </w:t>
      </w:r>
      <w:r w:rsidR="001D01F7" w:rsidRPr="00985EBC">
        <w:rPr>
          <w:rFonts w:asciiTheme="majorHAnsi" w:hAnsiTheme="majorHAnsi"/>
          <w:lang w:val="ro-RO"/>
        </w:rPr>
        <w:t>conțin</w:t>
      </w:r>
      <w:r w:rsidRPr="00985EBC">
        <w:rPr>
          <w:rFonts w:asciiTheme="majorHAnsi" w:hAnsiTheme="majorHAnsi"/>
          <w:lang w:val="ro-RO"/>
        </w:rPr>
        <w:t>ă</w:t>
      </w:r>
      <w:r w:rsidR="001D01F7" w:rsidRPr="00985EBC">
        <w:rPr>
          <w:rFonts w:asciiTheme="majorHAnsi" w:hAnsiTheme="majorHAnsi"/>
          <w:lang w:val="ro-RO"/>
        </w:rPr>
        <w:t xml:space="preserve"> și rezultatele expertizei compatibilității cu legislația comunitară, precum și lista reglementărilor de refer</w:t>
      </w:r>
      <w:r w:rsidR="008A3B8F" w:rsidRPr="00985EBC">
        <w:rPr>
          <w:rFonts w:asciiTheme="majorHAnsi" w:hAnsiTheme="majorHAnsi"/>
          <w:lang w:val="ro-RO"/>
        </w:rPr>
        <w:t>ință ale legislației comunitare;</w:t>
      </w:r>
    </w:p>
    <w:p w:rsidR="0056423B" w:rsidRPr="00985EBC" w:rsidRDefault="0056423B" w:rsidP="008A3B8F">
      <w:pPr>
        <w:pStyle w:val="ListParagraph"/>
        <w:numPr>
          <w:ilvl w:val="0"/>
          <w:numId w:val="18"/>
        </w:numPr>
        <w:jc w:val="both"/>
        <w:rPr>
          <w:rFonts w:asciiTheme="majorHAnsi" w:hAnsiTheme="majorHAnsi"/>
          <w:lang w:val="ro-RO"/>
        </w:rPr>
      </w:pPr>
      <w:r w:rsidRPr="00985EBC">
        <w:rPr>
          <w:rFonts w:asciiTheme="majorHAnsi" w:hAnsiTheme="majorHAnsi"/>
          <w:lang w:val="ro-RO"/>
        </w:rPr>
        <w:t>nici un  proiect de lege</w:t>
      </w:r>
      <w:r w:rsidR="008A3B8F" w:rsidRPr="00985EBC">
        <w:rPr>
          <w:rFonts w:asciiTheme="majorHAnsi" w:hAnsiTheme="majorHAnsi"/>
          <w:lang w:val="ro-RO"/>
        </w:rPr>
        <w:t xml:space="preserve"> expertizat </w:t>
      </w:r>
      <w:r w:rsidRPr="00985EBC">
        <w:rPr>
          <w:rFonts w:asciiTheme="majorHAnsi" w:hAnsiTheme="majorHAnsi"/>
          <w:lang w:val="ro-RO"/>
        </w:rPr>
        <w:t>nu e</w:t>
      </w:r>
      <w:r w:rsidR="008A3B8F" w:rsidRPr="00985EBC">
        <w:rPr>
          <w:rFonts w:asciiTheme="majorHAnsi" w:hAnsiTheme="majorHAnsi"/>
          <w:lang w:val="ro-RO"/>
        </w:rPr>
        <w:t>ste</w:t>
      </w:r>
      <w:r w:rsidRPr="00985EBC">
        <w:rPr>
          <w:rFonts w:asciiTheme="majorHAnsi" w:hAnsiTheme="majorHAnsi"/>
          <w:lang w:val="ro-RO"/>
        </w:rPr>
        <w:t xml:space="preserve"> însoţit de lista actelor condiţionate ce necesită a fi elaborate sau revizuite în legătură cu adoptarea actului legislativ, deşi ace</w:t>
      </w:r>
      <w:r w:rsidR="008A3B8F" w:rsidRPr="00985EBC">
        <w:rPr>
          <w:rFonts w:asciiTheme="majorHAnsi" w:hAnsiTheme="majorHAnsi"/>
          <w:lang w:val="ro-RO"/>
        </w:rPr>
        <w:t>asta trebuie inclusă în d</w:t>
      </w:r>
      <w:r w:rsidRPr="00985EBC">
        <w:rPr>
          <w:rFonts w:asciiTheme="majorHAnsi" w:hAnsiTheme="majorHAnsi"/>
          <w:lang w:val="ro-RO"/>
        </w:rPr>
        <w:t>osarul de însoţire a variantei finale a proiectului de act legislativ</w:t>
      </w:r>
      <w:r w:rsidR="008A3B8F" w:rsidRPr="00985EBC">
        <w:rPr>
          <w:rFonts w:asciiTheme="majorHAnsi" w:hAnsiTheme="majorHAnsi"/>
          <w:lang w:val="ro-RO"/>
        </w:rPr>
        <w:t>, în conformitate cu exigenţele art.23 din Legea privind actele legislative.</w:t>
      </w:r>
    </w:p>
    <w:p w:rsidR="00BF26EB" w:rsidRPr="007C7079" w:rsidRDefault="00BF26EB" w:rsidP="007139C9">
      <w:pPr>
        <w:pStyle w:val="Heading1"/>
        <w:rPr>
          <w:lang w:val="ro-RO"/>
        </w:rPr>
      </w:pPr>
      <w:bookmarkStart w:id="15" w:name="_Toc409790622"/>
      <w:r w:rsidRPr="007C7079">
        <w:rPr>
          <w:lang w:val="ro-RO"/>
        </w:rPr>
        <w:t>III.6 Respectarea principiilor transparenţei, participării şi responsabilizării</w:t>
      </w:r>
      <w:bookmarkEnd w:id="15"/>
    </w:p>
    <w:p w:rsidR="005E0CA4" w:rsidRPr="00985EBC" w:rsidRDefault="005E0CA4" w:rsidP="005E0CA4">
      <w:pPr>
        <w:ind w:firstLine="567"/>
        <w:rPr>
          <w:rFonts w:ascii="Times New Roman" w:eastAsia="Times New Roman" w:hAnsi="Times New Roman" w:cs="Times New Roman"/>
          <w:sz w:val="24"/>
          <w:szCs w:val="24"/>
          <w:lang w:val="ro-RO" w:eastAsia="ru-RU"/>
        </w:rPr>
      </w:pPr>
      <w:r w:rsidRPr="00985EBC">
        <w:rPr>
          <w:rFonts w:ascii="Times New Roman" w:eastAsia="Times New Roman" w:hAnsi="Times New Roman" w:cs="Times New Roman"/>
          <w:sz w:val="24"/>
          <w:szCs w:val="24"/>
          <w:lang w:val="ro-RO" w:eastAsia="ru-RU"/>
        </w:rPr>
        <w:t xml:space="preserve">  </w:t>
      </w:r>
    </w:p>
    <w:p w:rsidR="005E0CA4" w:rsidRPr="00985EBC" w:rsidRDefault="005E0CA4" w:rsidP="005E0CA4">
      <w:pPr>
        <w:rPr>
          <w:rFonts w:asciiTheme="majorHAnsi" w:eastAsia="Times New Roman" w:hAnsiTheme="majorHAnsi" w:cs="Times New Roman"/>
          <w:sz w:val="24"/>
          <w:szCs w:val="24"/>
          <w:lang w:val="ro-RO" w:eastAsia="ru-RU"/>
        </w:rPr>
      </w:pPr>
      <w:r w:rsidRPr="00985EBC">
        <w:rPr>
          <w:rFonts w:asciiTheme="majorHAnsi" w:eastAsia="Times New Roman" w:hAnsiTheme="majorHAnsi" w:cs="Times New Roman"/>
          <w:bCs/>
          <w:sz w:val="24"/>
          <w:szCs w:val="24"/>
          <w:lang w:val="ro-RO" w:eastAsia="ru-RU"/>
        </w:rPr>
        <w:t>Potrivit alin.1 art.5 din Legea privind actele legislative,</w:t>
      </w:r>
      <w:r w:rsidRPr="00985EBC">
        <w:rPr>
          <w:rFonts w:asciiTheme="majorHAnsi" w:eastAsia="Times New Roman" w:hAnsiTheme="majorHAnsi" w:cs="Times New Roman"/>
          <w:b/>
          <w:bCs/>
          <w:sz w:val="24"/>
          <w:szCs w:val="24"/>
          <w:lang w:val="ro-RO" w:eastAsia="ru-RU"/>
        </w:rPr>
        <w:t xml:space="preserve"> </w:t>
      </w:r>
      <w:r w:rsidRPr="00985EBC">
        <w:rPr>
          <w:rFonts w:asciiTheme="majorHAnsi" w:eastAsia="Times New Roman" w:hAnsiTheme="majorHAnsi" w:cs="Times New Roman"/>
          <w:i/>
          <w:sz w:val="24"/>
          <w:szCs w:val="24"/>
          <w:lang w:val="ro-RO" w:eastAsia="ru-RU"/>
        </w:rPr>
        <w:t>apărarea drepturilor, libertăţilor, intereselor legitime ale cetăţenilor, egalitatea şi echitatea socială, precum şi compatibilitatea cu legislaţia comunitară constituie o condiţie obligatorie a oricărui act legislativ</w:t>
      </w:r>
      <w:r w:rsidRPr="00985EBC">
        <w:rPr>
          <w:rFonts w:asciiTheme="majorHAnsi" w:eastAsia="Times New Roman" w:hAnsiTheme="majorHAnsi" w:cs="Times New Roman"/>
          <w:sz w:val="24"/>
          <w:szCs w:val="24"/>
          <w:lang w:val="ro-RO" w:eastAsia="ru-RU"/>
        </w:rPr>
        <w:t xml:space="preserve">. Totodată, Legea privind actele  legislative, în alin.3 din art.4, stabileşte că la elaborarea, adoptarea şi </w:t>
      </w:r>
      <w:r w:rsidRPr="00985EBC">
        <w:rPr>
          <w:rFonts w:asciiTheme="majorHAnsi" w:eastAsia="Times New Roman" w:hAnsiTheme="majorHAnsi" w:cs="Times New Roman"/>
          <w:sz w:val="24"/>
          <w:szCs w:val="24"/>
          <w:lang w:val="ro-RO" w:eastAsia="ru-RU"/>
        </w:rPr>
        <w:lastRenderedPageBreak/>
        <w:t>aplicarea actului legislativ se respect</w:t>
      </w:r>
      <w:r w:rsidR="009B124A" w:rsidRPr="00985EBC">
        <w:rPr>
          <w:rFonts w:asciiTheme="majorHAnsi" w:eastAsia="Times New Roman" w:hAnsiTheme="majorHAnsi" w:cs="Times New Roman"/>
          <w:sz w:val="24"/>
          <w:szCs w:val="24"/>
          <w:lang w:val="ro-RO" w:eastAsia="ru-RU"/>
        </w:rPr>
        <w:t>ă</w:t>
      </w:r>
      <w:r w:rsidRPr="00985EBC">
        <w:rPr>
          <w:rFonts w:asciiTheme="majorHAnsi" w:eastAsia="Times New Roman" w:hAnsiTheme="majorHAnsi" w:cs="Times New Roman"/>
          <w:sz w:val="24"/>
          <w:szCs w:val="24"/>
          <w:lang w:val="ro-RO" w:eastAsia="ru-RU"/>
        </w:rPr>
        <w:t>, printr</w:t>
      </w:r>
      <w:r w:rsidR="009B124A" w:rsidRPr="00985EBC">
        <w:rPr>
          <w:rFonts w:asciiTheme="majorHAnsi" w:eastAsia="Times New Roman" w:hAnsiTheme="majorHAnsi" w:cs="Times New Roman"/>
          <w:sz w:val="24"/>
          <w:szCs w:val="24"/>
          <w:lang w:val="ro-RO" w:eastAsia="ru-RU"/>
        </w:rPr>
        <w:t>e</w:t>
      </w:r>
      <w:r w:rsidRPr="00985EBC">
        <w:rPr>
          <w:rFonts w:asciiTheme="majorHAnsi" w:eastAsia="Times New Roman" w:hAnsiTheme="majorHAnsi" w:cs="Times New Roman"/>
          <w:sz w:val="24"/>
          <w:szCs w:val="24"/>
          <w:lang w:val="ro-RO" w:eastAsia="ru-RU"/>
        </w:rPr>
        <w:t xml:space="preserve"> altele, şi principiile  transparenţei, publicităţii şi accesibilităţii. </w:t>
      </w:r>
    </w:p>
    <w:p w:rsidR="005E0CA4" w:rsidRPr="00985EBC" w:rsidRDefault="005E0CA4" w:rsidP="005E0CA4">
      <w:pPr>
        <w:rPr>
          <w:rFonts w:ascii="Times New Roman" w:eastAsia="Times New Roman" w:hAnsi="Times New Roman" w:cs="Times New Roman"/>
          <w:sz w:val="24"/>
          <w:szCs w:val="24"/>
          <w:lang w:val="ro-RO" w:eastAsia="ru-RU"/>
        </w:rPr>
      </w:pPr>
    </w:p>
    <w:p w:rsidR="005E0CA4" w:rsidRPr="00985EBC" w:rsidRDefault="005E0CA4" w:rsidP="005E0CA4">
      <w:pPr>
        <w:rPr>
          <w:rFonts w:ascii="Cambria" w:hAnsi="Cambria" w:cs="Arial"/>
          <w:sz w:val="24"/>
          <w:szCs w:val="24"/>
          <w:lang w:val="ro-RO"/>
        </w:rPr>
      </w:pPr>
      <w:r w:rsidRPr="00985EBC">
        <w:rPr>
          <w:rFonts w:ascii="Cambria" w:hAnsi="Cambria" w:cs="Arial"/>
          <w:sz w:val="24"/>
          <w:szCs w:val="24"/>
          <w:lang w:val="ro-RO"/>
        </w:rPr>
        <w:t xml:space="preserve">Activitatea de elaborare a proiectelor de acte normative este una extrem de </w:t>
      </w:r>
      <w:r w:rsidR="009B124A" w:rsidRPr="00985EBC">
        <w:rPr>
          <w:rFonts w:ascii="Cambria" w:hAnsi="Cambria" w:cs="Arial"/>
          <w:sz w:val="24"/>
          <w:szCs w:val="24"/>
          <w:lang w:val="ro-RO"/>
        </w:rPr>
        <w:t xml:space="preserve">complexă şi </w:t>
      </w:r>
      <w:r w:rsidRPr="00985EBC">
        <w:rPr>
          <w:rFonts w:ascii="Cambria" w:hAnsi="Cambria" w:cs="Arial"/>
          <w:sz w:val="24"/>
          <w:szCs w:val="24"/>
          <w:lang w:val="ro-RO"/>
        </w:rPr>
        <w:t>responsabilă. Reflectarea tuturor intereselor în viitoarele reglementări este strîns legată de participarea societăţii civile şi a persoanelor interesate la dezbaterea publică a proiectelor de acte normative pe tot parcursul activităţii de creaţie legislativă şi de adoptare a noilor reglementări. În acest context respectarea principiilor transparenţei, publicităţii, participării şi responsabilizării devine o necesitate sine qua non</w:t>
      </w:r>
      <w:r w:rsidR="009B124A" w:rsidRPr="00985EBC">
        <w:rPr>
          <w:rStyle w:val="FootnoteReference"/>
          <w:rFonts w:ascii="Cambria" w:hAnsi="Cambria" w:cs="Arial"/>
          <w:sz w:val="24"/>
          <w:szCs w:val="24"/>
          <w:lang w:val="ro-RO"/>
        </w:rPr>
        <w:footnoteReference w:id="2"/>
      </w:r>
      <w:r w:rsidRPr="00985EBC">
        <w:rPr>
          <w:rFonts w:ascii="Cambria" w:hAnsi="Cambria" w:cs="Arial"/>
          <w:sz w:val="24"/>
          <w:szCs w:val="24"/>
          <w:lang w:val="ro-RO"/>
        </w:rPr>
        <w:t>.</w:t>
      </w:r>
    </w:p>
    <w:p w:rsidR="005E0CA4" w:rsidRPr="00985EBC" w:rsidRDefault="005E0CA4" w:rsidP="005E0CA4">
      <w:pPr>
        <w:pStyle w:val="ListParagraph1"/>
        <w:spacing w:after="0" w:line="240" w:lineRule="auto"/>
        <w:ind w:left="0"/>
        <w:jc w:val="both"/>
        <w:rPr>
          <w:rFonts w:ascii="Cambria" w:eastAsiaTheme="minorHAnsi" w:hAnsi="Cambria" w:cs="Arial"/>
          <w:sz w:val="24"/>
          <w:szCs w:val="24"/>
        </w:rPr>
      </w:pPr>
    </w:p>
    <w:p w:rsidR="00470F43" w:rsidRPr="00985EBC" w:rsidRDefault="009B124A" w:rsidP="009B124A">
      <w:pPr>
        <w:pStyle w:val="ListParagraph1"/>
        <w:tabs>
          <w:tab w:val="left" w:pos="1620"/>
        </w:tabs>
        <w:spacing w:after="0" w:line="240" w:lineRule="auto"/>
        <w:ind w:left="0"/>
        <w:jc w:val="both"/>
        <w:rPr>
          <w:rFonts w:ascii="Cambria" w:eastAsiaTheme="minorHAnsi" w:hAnsi="Cambria" w:cs="Arial"/>
          <w:sz w:val="24"/>
          <w:szCs w:val="24"/>
        </w:rPr>
      </w:pPr>
      <w:r w:rsidRPr="00985EBC">
        <w:rPr>
          <w:rFonts w:ascii="Cambria" w:eastAsiaTheme="minorHAnsi" w:hAnsi="Cambria" w:cs="Arial"/>
          <w:sz w:val="24"/>
          <w:szCs w:val="24"/>
        </w:rPr>
        <w:t xml:space="preserve">Existenţa unor garanţii sau mecanisme legale de respectare a principiilor transparenţei,  participării şi responsabilizării în procesul aplicării legilor este de natură </w:t>
      </w:r>
      <w:r w:rsidR="00470F43" w:rsidRPr="00985EBC">
        <w:rPr>
          <w:rFonts w:ascii="Cambria" w:eastAsiaTheme="minorHAnsi" w:hAnsi="Cambria" w:cs="Arial"/>
          <w:sz w:val="24"/>
          <w:szCs w:val="24"/>
        </w:rPr>
        <w:t xml:space="preserve">să asigure informarea </w:t>
      </w:r>
      <w:r w:rsidRPr="00985EBC">
        <w:rPr>
          <w:rFonts w:ascii="Cambria" w:eastAsiaTheme="minorHAnsi" w:hAnsi="Cambria" w:cs="Arial"/>
          <w:sz w:val="24"/>
          <w:szCs w:val="24"/>
        </w:rPr>
        <w:t xml:space="preserve">cetăţenilor </w:t>
      </w:r>
      <w:r w:rsidR="00470F43" w:rsidRPr="00985EBC">
        <w:rPr>
          <w:rFonts w:ascii="Cambria" w:eastAsiaTheme="minorHAnsi" w:hAnsi="Cambria" w:cs="Arial"/>
          <w:sz w:val="24"/>
          <w:szCs w:val="24"/>
        </w:rPr>
        <w:t>asupra procesului decizional d</w:t>
      </w:r>
      <w:r w:rsidRPr="00985EBC">
        <w:rPr>
          <w:rFonts w:ascii="Cambria" w:eastAsiaTheme="minorHAnsi" w:hAnsi="Cambria" w:cs="Arial"/>
          <w:sz w:val="24"/>
          <w:szCs w:val="24"/>
        </w:rPr>
        <w:t>in cadrul autorităţilor publice, în acest fel contribuind la transparentizarea activităţii autorităţilor publice;</w:t>
      </w:r>
      <w:r w:rsidR="00470F43" w:rsidRPr="00985EBC">
        <w:rPr>
          <w:rFonts w:ascii="Cambria" w:eastAsiaTheme="minorHAnsi" w:hAnsi="Cambria" w:cs="Arial"/>
          <w:sz w:val="24"/>
          <w:szCs w:val="24"/>
        </w:rPr>
        <w:t xml:space="preserve"> să asigure participarea directă a cetăţenilor</w:t>
      </w:r>
      <w:r w:rsidRPr="00985EBC">
        <w:rPr>
          <w:rFonts w:ascii="Cambria" w:eastAsiaTheme="minorHAnsi" w:hAnsi="Cambria" w:cs="Arial"/>
          <w:sz w:val="24"/>
          <w:szCs w:val="24"/>
        </w:rPr>
        <w:t xml:space="preserve"> în procesul decizional şi să-l eficientizeze;</w:t>
      </w:r>
      <w:r w:rsidR="00470F43" w:rsidRPr="00985EBC">
        <w:rPr>
          <w:rFonts w:ascii="Cambria" w:eastAsiaTheme="minorHAnsi" w:hAnsi="Cambria" w:cs="Arial"/>
          <w:sz w:val="24"/>
          <w:szCs w:val="24"/>
        </w:rPr>
        <w:t xml:space="preserve"> să sporească gradul de răspundere al autorităţilor publice faţă de </w:t>
      </w:r>
      <w:r w:rsidRPr="00985EBC">
        <w:rPr>
          <w:rFonts w:ascii="Cambria" w:eastAsiaTheme="minorHAnsi" w:hAnsi="Cambria" w:cs="Arial"/>
          <w:sz w:val="24"/>
          <w:szCs w:val="24"/>
        </w:rPr>
        <w:t>cetăţeni</w:t>
      </w:r>
      <w:r w:rsidR="00470F43" w:rsidRPr="00985EBC">
        <w:rPr>
          <w:rFonts w:ascii="Cambria" w:eastAsiaTheme="minorHAnsi" w:hAnsi="Cambria" w:cs="Arial"/>
          <w:sz w:val="24"/>
          <w:szCs w:val="24"/>
        </w:rPr>
        <w:t>; să stimuleze participarea activă a cetăţenilor, a asociaţiilor constituite în corespundere cu legea, a altor părţi int</w:t>
      </w:r>
      <w:r w:rsidRPr="00985EBC">
        <w:rPr>
          <w:rFonts w:ascii="Cambria" w:eastAsiaTheme="minorHAnsi" w:hAnsi="Cambria" w:cs="Arial"/>
          <w:sz w:val="24"/>
          <w:szCs w:val="24"/>
        </w:rPr>
        <w:t>eresate la procesul decizional.</w:t>
      </w:r>
    </w:p>
    <w:p w:rsidR="00C24D3E" w:rsidRPr="007C7079" w:rsidRDefault="003C214A" w:rsidP="007139C9">
      <w:pPr>
        <w:pStyle w:val="Heading1"/>
        <w:rPr>
          <w:lang w:val="ro-RO"/>
        </w:rPr>
      </w:pPr>
      <w:bookmarkStart w:id="16" w:name="_Toc409790623"/>
      <w:r w:rsidRPr="007C7079">
        <w:rPr>
          <w:lang w:val="ro-RO"/>
        </w:rPr>
        <w:t xml:space="preserve">III.6.1 </w:t>
      </w:r>
      <w:r w:rsidR="00C24D3E" w:rsidRPr="007C7079">
        <w:rPr>
          <w:lang w:val="ro-RO"/>
        </w:rPr>
        <w:t>Principiul transparenţei</w:t>
      </w:r>
      <w:bookmarkEnd w:id="16"/>
    </w:p>
    <w:p w:rsidR="00C24D3E" w:rsidRPr="00985EBC" w:rsidRDefault="00C24D3E">
      <w:pPr>
        <w:rPr>
          <w:sz w:val="24"/>
          <w:szCs w:val="24"/>
          <w:lang w:val="ro-RO"/>
        </w:rPr>
      </w:pPr>
    </w:p>
    <w:p w:rsidR="004549D7" w:rsidRPr="00985EBC" w:rsidRDefault="004549D7" w:rsidP="004549D7">
      <w:pPr>
        <w:pStyle w:val="ListParagraph1"/>
        <w:spacing w:after="0" w:line="240" w:lineRule="auto"/>
        <w:ind w:left="0"/>
        <w:jc w:val="both"/>
        <w:rPr>
          <w:rFonts w:asciiTheme="minorHAnsi" w:eastAsiaTheme="minorHAnsi" w:hAnsiTheme="minorHAnsi" w:cstheme="minorBidi"/>
          <w:sz w:val="24"/>
          <w:szCs w:val="24"/>
        </w:rPr>
      </w:pPr>
      <w:r w:rsidRPr="00985EBC">
        <w:rPr>
          <w:rFonts w:ascii="Cambria" w:hAnsi="Cambria" w:cs="Arial"/>
          <w:sz w:val="24"/>
          <w:szCs w:val="24"/>
        </w:rPr>
        <w:t>Principiul transparenţei, alături de principiul publicităţii, oferă posibilitatea societăţii civile să cunoască şi să se informeze despre activitatea administrativă şi despre proiectele actelor examinate în procesul decizional</w:t>
      </w:r>
      <w:r w:rsidR="00CF133B" w:rsidRPr="00985EBC">
        <w:rPr>
          <w:rStyle w:val="FootnoteReference"/>
          <w:rFonts w:ascii="Cambria" w:hAnsi="Cambria" w:cs="Arial"/>
          <w:sz w:val="24"/>
          <w:szCs w:val="24"/>
        </w:rPr>
        <w:footnoteReference w:id="3"/>
      </w:r>
      <w:r w:rsidRPr="00985EBC">
        <w:rPr>
          <w:rFonts w:ascii="Cambria" w:hAnsi="Cambria" w:cs="Arial"/>
          <w:sz w:val="24"/>
          <w:szCs w:val="24"/>
        </w:rPr>
        <w:t>.</w:t>
      </w:r>
      <w:r w:rsidRPr="00985EBC">
        <w:rPr>
          <w:rFonts w:asciiTheme="minorHAnsi" w:eastAsiaTheme="minorHAnsi" w:hAnsiTheme="minorHAnsi" w:cstheme="minorBidi"/>
          <w:sz w:val="24"/>
          <w:szCs w:val="24"/>
        </w:rPr>
        <w:t xml:space="preserve"> </w:t>
      </w:r>
    </w:p>
    <w:p w:rsidR="00C24D3E" w:rsidRPr="00985EBC" w:rsidRDefault="00C24D3E">
      <w:pPr>
        <w:rPr>
          <w:sz w:val="24"/>
          <w:szCs w:val="24"/>
          <w:lang w:val="ro-RO"/>
        </w:rPr>
      </w:pPr>
    </w:p>
    <w:p w:rsidR="00CF133B" w:rsidRPr="00985EBC" w:rsidRDefault="00CF133B">
      <w:pPr>
        <w:rPr>
          <w:rFonts w:asciiTheme="majorHAnsi" w:hAnsiTheme="majorHAnsi"/>
          <w:sz w:val="24"/>
          <w:szCs w:val="24"/>
          <w:lang w:val="ro-RO"/>
        </w:rPr>
      </w:pPr>
      <w:r w:rsidRPr="00985EBC">
        <w:rPr>
          <w:rFonts w:asciiTheme="majorHAnsi" w:hAnsiTheme="majorHAnsi"/>
          <w:sz w:val="24"/>
          <w:szCs w:val="24"/>
          <w:lang w:val="ro-RO"/>
        </w:rPr>
        <w:t xml:space="preserve">În scopul </w:t>
      </w:r>
      <w:r w:rsidR="00F80F08" w:rsidRPr="00985EBC">
        <w:rPr>
          <w:rFonts w:asciiTheme="majorHAnsi" w:hAnsiTheme="majorHAnsi"/>
          <w:sz w:val="24"/>
          <w:szCs w:val="24"/>
          <w:lang w:val="ro-RO"/>
        </w:rPr>
        <w:t>evaluării</w:t>
      </w:r>
      <w:r w:rsidR="004F0CEC">
        <w:rPr>
          <w:rFonts w:asciiTheme="majorHAnsi" w:hAnsiTheme="majorHAnsi"/>
          <w:sz w:val="24"/>
          <w:szCs w:val="24"/>
          <w:lang w:val="ro-RO"/>
        </w:rPr>
        <w:t>,</w:t>
      </w:r>
      <w:r w:rsidRPr="00985EBC">
        <w:rPr>
          <w:rFonts w:asciiTheme="majorHAnsi" w:hAnsiTheme="majorHAnsi"/>
          <w:sz w:val="24"/>
          <w:szCs w:val="24"/>
          <w:lang w:val="ro-RO"/>
        </w:rPr>
        <w:t xml:space="preserve"> dacă </w:t>
      </w:r>
      <w:r w:rsidR="00F80F08" w:rsidRPr="00985EBC">
        <w:rPr>
          <w:rFonts w:asciiTheme="majorHAnsi" w:hAnsiTheme="majorHAnsi"/>
          <w:sz w:val="24"/>
          <w:szCs w:val="24"/>
          <w:lang w:val="ro-RO"/>
        </w:rPr>
        <w:t>în procesul aplicării</w:t>
      </w:r>
      <w:r w:rsidRPr="00985EBC">
        <w:rPr>
          <w:rFonts w:asciiTheme="majorHAnsi" w:hAnsiTheme="majorHAnsi"/>
          <w:sz w:val="24"/>
          <w:szCs w:val="24"/>
          <w:lang w:val="ro-RO"/>
        </w:rPr>
        <w:t xml:space="preserve"> legii va fi asigurat</w:t>
      </w:r>
      <w:r w:rsidR="00F80F08" w:rsidRPr="00985EBC">
        <w:rPr>
          <w:rFonts w:asciiTheme="majorHAnsi" w:hAnsiTheme="majorHAnsi"/>
          <w:sz w:val="24"/>
          <w:szCs w:val="24"/>
          <w:lang w:val="ro-RO"/>
        </w:rPr>
        <w:t>ă respectarea</w:t>
      </w:r>
      <w:r w:rsidRPr="00985EBC">
        <w:rPr>
          <w:rFonts w:asciiTheme="majorHAnsi" w:hAnsiTheme="majorHAnsi"/>
          <w:sz w:val="24"/>
          <w:szCs w:val="24"/>
          <w:lang w:val="ro-RO"/>
        </w:rPr>
        <w:t xml:space="preserve"> principiul</w:t>
      </w:r>
      <w:r w:rsidR="00F80F08" w:rsidRPr="00985EBC">
        <w:rPr>
          <w:rFonts w:asciiTheme="majorHAnsi" w:hAnsiTheme="majorHAnsi"/>
          <w:sz w:val="24"/>
          <w:szCs w:val="24"/>
          <w:lang w:val="ro-RO"/>
        </w:rPr>
        <w:t xml:space="preserve">ui transparenţei, experţii </w:t>
      </w:r>
      <w:r w:rsidR="00A113E3" w:rsidRPr="00985EBC">
        <w:rPr>
          <w:rFonts w:asciiTheme="majorHAnsi" w:hAnsiTheme="majorHAnsi"/>
          <w:sz w:val="24"/>
          <w:szCs w:val="24"/>
          <w:lang w:val="ro-RO"/>
        </w:rPr>
        <w:t xml:space="preserve"> CAPC </w:t>
      </w:r>
      <w:r w:rsidR="00F80F08" w:rsidRPr="00985EBC">
        <w:rPr>
          <w:rFonts w:asciiTheme="majorHAnsi" w:hAnsiTheme="majorHAnsi"/>
          <w:sz w:val="24"/>
          <w:szCs w:val="24"/>
          <w:lang w:val="ro-RO"/>
        </w:rPr>
        <w:t>au verificat următoarele aspecte:</w:t>
      </w:r>
    </w:p>
    <w:p w:rsidR="00C24D3E" w:rsidRPr="00985EBC" w:rsidRDefault="00F80F08" w:rsidP="00F80F08">
      <w:pPr>
        <w:pStyle w:val="ListParagraph"/>
        <w:numPr>
          <w:ilvl w:val="0"/>
          <w:numId w:val="21"/>
        </w:numPr>
        <w:rPr>
          <w:rFonts w:asciiTheme="majorHAnsi" w:hAnsiTheme="majorHAnsi"/>
          <w:lang w:val="ro-RO"/>
        </w:rPr>
      </w:pPr>
      <w:r w:rsidRPr="00985EBC">
        <w:rPr>
          <w:rFonts w:asciiTheme="majorHAnsi" w:hAnsiTheme="majorHAnsi"/>
          <w:lang w:val="ro-RO"/>
        </w:rPr>
        <w:t>dacă p</w:t>
      </w:r>
      <w:r w:rsidR="008504E9" w:rsidRPr="00985EBC">
        <w:rPr>
          <w:rFonts w:asciiTheme="majorHAnsi" w:hAnsiTheme="majorHAnsi"/>
          <w:lang w:val="ro-RO"/>
        </w:rPr>
        <w:t>roiectul conţine prevederi exprese/tacite, care obligă organele publice să ofere informaţii accesibile şi uşor disponibile, relevante şi actualizate</w:t>
      </w:r>
      <w:r w:rsidRPr="00985EBC">
        <w:rPr>
          <w:rFonts w:asciiTheme="majorHAnsi" w:hAnsiTheme="majorHAnsi"/>
          <w:lang w:val="ro-RO"/>
        </w:rPr>
        <w:t>;</w:t>
      </w:r>
    </w:p>
    <w:p w:rsidR="008504E9" w:rsidRPr="00985EBC" w:rsidRDefault="00F80F08" w:rsidP="00F80F08">
      <w:pPr>
        <w:pStyle w:val="ListParagraph"/>
        <w:numPr>
          <w:ilvl w:val="0"/>
          <w:numId w:val="21"/>
        </w:numPr>
        <w:rPr>
          <w:rFonts w:asciiTheme="majorHAnsi" w:hAnsiTheme="majorHAnsi"/>
          <w:lang w:val="ro-RO"/>
        </w:rPr>
      </w:pPr>
      <w:r w:rsidRPr="00985EBC">
        <w:rPr>
          <w:rFonts w:asciiTheme="majorHAnsi" w:hAnsiTheme="majorHAnsi"/>
          <w:lang w:val="ro-RO"/>
        </w:rPr>
        <w:t>dacă p</w:t>
      </w:r>
      <w:r w:rsidR="008504E9" w:rsidRPr="00985EBC">
        <w:rPr>
          <w:rFonts w:asciiTheme="majorHAnsi" w:hAnsiTheme="majorHAnsi"/>
          <w:lang w:val="ro-RO"/>
        </w:rPr>
        <w:t>roiectul normativ stabileşte mecanisme legale de comunicare cu populaţia</w:t>
      </w:r>
      <w:r w:rsidRPr="00985EBC">
        <w:rPr>
          <w:rFonts w:asciiTheme="majorHAnsi" w:hAnsiTheme="majorHAnsi"/>
          <w:lang w:val="ro-RO"/>
        </w:rPr>
        <w:t>.</w:t>
      </w:r>
    </w:p>
    <w:p w:rsidR="006108C0" w:rsidRPr="00985EBC" w:rsidRDefault="006108C0">
      <w:pPr>
        <w:rPr>
          <w:lang w:val="ro-RO"/>
        </w:rPr>
      </w:pPr>
    </w:p>
    <w:p w:rsidR="003F1725" w:rsidRPr="00985EBC" w:rsidRDefault="003F1725">
      <w:pPr>
        <w:rPr>
          <w:rFonts w:asciiTheme="majorHAnsi" w:eastAsia="Times New Roman" w:hAnsiTheme="majorHAnsi" w:cs="Times New Roman"/>
          <w:sz w:val="24"/>
          <w:szCs w:val="24"/>
          <w:lang w:val="ro-RO" w:eastAsia="ru-RU"/>
        </w:rPr>
      </w:pPr>
      <w:r w:rsidRPr="00985EBC">
        <w:rPr>
          <w:rFonts w:asciiTheme="majorHAnsi" w:eastAsia="Times New Roman" w:hAnsiTheme="majorHAnsi" w:cs="Times New Roman"/>
          <w:sz w:val="24"/>
          <w:szCs w:val="24"/>
          <w:lang w:val="ro-RO" w:eastAsia="ru-RU"/>
        </w:rPr>
        <w:t>Din figura</w:t>
      </w:r>
      <w:r w:rsidR="003C214A" w:rsidRPr="00985EBC">
        <w:rPr>
          <w:rFonts w:asciiTheme="majorHAnsi" w:eastAsia="Times New Roman" w:hAnsiTheme="majorHAnsi" w:cs="Times New Roman"/>
          <w:sz w:val="24"/>
          <w:szCs w:val="24"/>
          <w:lang w:val="ro-RO" w:eastAsia="ru-RU"/>
        </w:rPr>
        <w:t xml:space="preserve"> 7</w:t>
      </w:r>
      <w:r w:rsidRPr="00985EBC">
        <w:rPr>
          <w:rFonts w:asciiTheme="majorHAnsi" w:eastAsia="Times New Roman" w:hAnsiTheme="majorHAnsi" w:cs="Times New Roman"/>
          <w:sz w:val="24"/>
          <w:szCs w:val="24"/>
          <w:lang w:val="ro-RO" w:eastAsia="ru-RU"/>
        </w:rPr>
        <w:t xml:space="preserve"> putem constata că </w:t>
      </w:r>
      <w:r w:rsidR="00147F0B" w:rsidRPr="00985EBC">
        <w:rPr>
          <w:rFonts w:asciiTheme="majorHAnsi" w:eastAsia="Times New Roman" w:hAnsiTheme="majorHAnsi" w:cs="Times New Roman"/>
          <w:sz w:val="24"/>
          <w:szCs w:val="24"/>
          <w:lang w:val="ro-RO" w:eastAsia="ru-RU"/>
        </w:rPr>
        <w:t>garanţiile şi mecanismele legale</w:t>
      </w:r>
      <w:r w:rsidR="004F0CEC">
        <w:rPr>
          <w:rFonts w:asciiTheme="majorHAnsi" w:eastAsia="Times New Roman" w:hAnsiTheme="majorHAnsi" w:cs="Times New Roman"/>
          <w:sz w:val="24"/>
          <w:szCs w:val="24"/>
          <w:lang w:val="ro-RO" w:eastAsia="ru-RU"/>
        </w:rPr>
        <w:t>,</w:t>
      </w:r>
      <w:r w:rsidR="00147F0B" w:rsidRPr="00985EBC">
        <w:rPr>
          <w:rFonts w:asciiTheme="majorHAnsi" w:eastAsia="Times New Roman" w:hAnsiTheme="majorHAnsi" w:cs="Times New Roman"/>
          <w:sz w:val="24"/>
          <w:szCs w:val="24"/>
          <w:lang w:val="ro-RO" w:eastAsia="ru-RU"/>
        </w:rPr>
        <w:t xml:space="preserve"> stabilite în </w:t>
      </w:r>
      <w:r w:rsidRPr="00985EBC">
        <w:rPr>
          <w:rFonts w:asciiTheme="majorHAnsi" w:eastAsia="Times New Roman" w:hAnsiTheme="majorHAnsi" w:cs="Times New Roman"/>
          <w:sz w:val="24"/>
          <w:szCs w:val="24"/>
          <w:lang w:val="ro-RO" w:eastAsia="ru-RU"/>
        </w:rPr>
        <w:t>71,43% din proiectele expertizate de CAPC</w:t>
      </w:r>
      <w:r w:rsidR="004F0CEC">
        <w:rPr>
          <w:rFonts w:asciiTheme="majorHAnsi" w:eastAsia="Times New Roman" w:hAnsiTheme="majorHAnsi" w:cs="Times New Roman"/>
          <w:sz w:val="24"/>
          <w:szCs w:val="24"/>
          <w:lang w:val="ro-RO" w:eastAsia="ru-RU"/>
        </w:rPr>
        <w:t>,</w:t>
      </w:r>
      <w:r w:rsidRPr="00985EBC">
        <w:rPr>
          <w:rFonts w:asciiTheme="majorHAnsi" w:eastAsia="Times New Roman" w:hAnsiTheme="majorHAnsi" w:cs="Times New Roman"/>
          <w:sz w:val="24"/>
          <w:szCs w:val="24"/>
          <w:lang w:val="ro-RO" w:eastAsia="ru-RU"/>
        </w:rPr>
        <w:t xml:space="preserve"> vor </w:t>
      </w:r>
      <w:r w:rsidR="00147F0B" w:rsidRPr="00985EBC">
        <w:rPr>
          <w:rFonts w:asciiTheme="majorHAnsi" w:eastAsia="Times New Roman" w:hAnsiTheme="majorHAnsi" w:cs="Times New Roman"/>
          <w:sz w:val="24"/>
          <w:szCs w:val="24"/>
          <w:lang w:val="ro-RO" w:eastAsia="ru-RU"/>
        </w:rPr>
        <w:t xml:space="preserve">asigura </w:t>
      </w:r>
      <w:r w:rsidRPr="00985EBC">
        <w:rPr>
          <w:rFonts w:asciiTheme="majorHAnsi" w:eastAsia="Times New Roman" w:hAnsiTheme="majorHAnsi" w:cs="Times New Roman"/>
          <w:sz w:val="24"/>
          <w:szCs w:val="24"/>
          <w:lang w:val="ro-RO" w:eastAsia="ru-RU"/>
        </w:rPr>
        <w:t>respecta</w:t>
      </w:r>
      <w:r w:rsidR="00147F0B" w:rsidRPr="00985EBC">
        <w:rPr>
          <w:rFonts w:asciiTheme="majorHAnsi" w:eastAsia="Times New Roman" w:hAnsiTheme="majorHAnsi" w:cs="Times New Roman"/>
          <w:sz w:val="24"/>
          <w:szCs w:val="24"/>
          <w:lang w:val="ro-RO" w:eastAsia="ru-RU"/>
        </w:rPr>
        <w:t>rea</w:t>
      </w:r>
      <w:r w:rsidRPr="00985EBC">
        <w:rPr>
          <w:rFonts w:asciiTheme="majorHAnsi" w:eastAsia="Times New Roman" w:hAnsiTheme="majorHAnsi" w:cs="Times New Roman"/>
          <w:sz w:val="24"/>
          <w:szCs w:val="24"/>
          <w:lang w:val="ro-RO" w:eastAsia="ru-RU"/>
        </w:rPr>
        <w:t xml:space="preserve"> principiul</w:t>
      </w:r>
      <w:r w:rsidR="00147F0B" w:rsidRPr="00985EBC">
        <w:rPr>
          <w:rFonts w:asciiTheme="majorHAnsi" w:eastAsia="Times New Roman" w:hAnsiTheme="majorHAnsi" w:cs="Times New Roman"/>
          <w:sz w:val="24"/>
          <w:szCs w:val="24"/>
          <w:lang w:val="ro-RO" w:eastAsia="ru-RU"/>
        </w:rPr>
        <w:t>ui</w:t>
      </w:r>
      <w:r w:rsidRPr="00985EBC">
        <w:rPr>
          <w:rFonts w:asciiTheme="majorHAnsi" w:eastAsia="Times New Roman" w:hAnsiTheme="majorHAnsi" w:cs="Times New Roman"/>
          <w:sz w:val="24"/>
          <w:szCs w:val="24"/>
          <w:lang w:val="ro-RO" w:eastAsia="ru-RU"/>
        </w:rPr>
        <w:t xml:space="preserve"> transparenţei în cazul adoptării şi punerii în aplicare a acestora</w:t>
      </w:r>
      <w:r w:rsidR="00147F0B" w:rsidRPr="00985EBC">
        <w:rPr>
          <w:rFonts w:asciiTheme="majorHAnsi" w:eastAsia="Times New Roman" w:hAnsiTheme="majorHAnsi" w:cs="Times New Roman"/>
          <w:sz w:val="24"/>
          <w:szCs w:val="24"/>
          <w:lang w:val="ro-RO" w:eastAsia="ru-RU"/>
        </w:rPr>
        <w:t>. Totuşi, în 16,88% din proiectele de legi examinate în Parlament, respectarea acestui principiu este asigurată insuficient, iar în cazul a 3,9% de proiecte, principiul transparenţei, în general, nu va fi respectat.</w:t>
      </w:r>
    </w:p>
    <w:p w:rsidR="003F1725" w:rsidRPr="00985EBC" w:rsidRDefault="003F1725">
      <w:pPr>
        <w:rPr>
          <w:rFonts w:asciiTheme="majorHAnsi" w:eastAsia="Times New Roman" w:hAnsiTheme="majorHAnsi" w:cs="Times New Roman"/>
          <w:sz w:val="16"/>
          <w:szCs w:val="16"/>
          <w:lang w:val="ro-RO" w:eastAsia="ru-RU"/>
        </w:rPr>
      </w:pPr>
    </w:p>
    <w:p w:rsidR="00400170" w:rsidRPr="00985EBC" w:rsidRDefault="00400170">
      <w:pPr>
        <w:rPr>
          <w:lang w:val="ro-RO"/>
        </w:rPr>
      </w:pPr>
      <w:r w:rsidRPr="00985EBC">
        <w:rPr>
          <w:rFonts w:asciiTheme="majorHAnsi" w:eastAsia="Times New Roman" w:hAnsiTheme="majorHAnsi" w:cs="Times New Roman"/>
          <w:b/>
          <w:i/>
          <w:sz w:val="16"/>
          <w:szCs w:val="16"/>
          <w:lang w:val="ro-RO" w:eastAsia="ru-RU"/>
        </w:rPr>
        <w:t>Figura</w:t>
      </w:r>
      <w:r w:rsidR="003C214A" w:rsidRPr="00985EBC">
        <w:rPr>
          <w:rFonts w:asciiTheme="majorHAnsi" w:eastAsia="Times New Roman" w:hAnsiTheme="majorHAnsi" w:cs="Times New Roman"/>
          <w:b/>
          <w:i/>
          <w:sz w:val="16"/>
          <w:szCs w:val="16"/>
          <w:lang w:val="ro-RO" w:eastAsia="ru-RU"/>
        </w:rPr>
        <w:t xml:space="preserve"> 7.</w:t>
      </w:r>
      <w:r w:rsidRPr="00985EBC">
        <w:rPr>
          <w:rFonts w:asciiTheme="majorHAnsi" w:eastAsia="Times New Roman" w:hAnsiTheme="majorHAnsi" w:cs="Times New Roman"/>
          <w:b/>
          <w:i/>
          <w:sz w:val="16"/>
          <w:szCs w:val="16"/>
          <w:lang w:val="ro-RO" w:eastAsia="ru-RU"/>
        </w:rPr>
        <w:t xml:space="preserve"> </w:t>
      </w:r>
      <w:r w:rsidRPr="00985EBC">
        <w:rPr>
          <w:rFonts w:asciiTheme="majorHAnsi" w:eastAsia="Times New Roman" w:hAnsiTheme="majorHAnsi" w:cs="Times New Roman"/>
          <w:i/>
          <w:sz w:val="16"/>
          <w:szCs w:val="16"/>
          <w:lang w:val="ro-RO" w:eastAsia="ru-RU"/>
        </w:rPr>
        <w:t>Respectarea principiului transparenţei</w:t>
      </w:r>
    </w:p>
    <w:p w:rsidR="00400170" w:rsidRPr="00985EBC" w:rsidRDefault="00400170">
      <w:pPr>
        <w:rPr>
          <w:lang w:val="ro-RO"/>
        </w:rPr>
      </w:pPr>
      <w:r w:rsidRPr="00985EBC">
        <w:rPr>
          <w:noProof/>
          <w:lang w:eastAsia="ru-RU"/>
        </w:rPr>
        <w:lastRenderedPageBreak/>
        <w:drawing>
          <wp:inline distT="0" distB="0" distL="0" distR="0">
            <wp:extent cx="5981700" cy="2114550"/>
            <wp:effectExtent l="76200" t="3810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0170" w:rsidRPr="00985EBC" w:rsidRDefault="00400170">
      <w:pPr>
        <w:rPr>
          <w:lang w:val="ro-RO"/>
        </w:rPr>
      </w:pPr>
    </w:p>
    <w:p w:rsidR="00D2671F" w:rsidRPr="00985EBC" w:rsidRDefault="007804FF">
      <w:pPr>
        <w:rPr>
          <w:rFonts w:asciiTheme="majorHAnsi" w:hAnsiTheme="majorHAnsi"/>
          <w:sz w:val="24"/>
          <w:szCs w:val="24"/>
          <w:lang w:val="ro-RO"/>
        </w:rPr>
      </w:pPr>
      <w:r w:rsidRPr="00985EBC">
        <w:rPr>
          <w:rFonts w:asciiTheme="majorHAnsi" w:hAnsiTheme="majorHAnsi"/>
          <w:sz w:val="24"/>
          <w:szCs w:val="24"/>
          <w:lang w:val="ro-RO"/>
        </w:rPr>
        <w:t>Cea mai mare pondere a respectării principiului transparenţei s-a înregistrat în Domeniul I „Justiţie şi afaceri interne, drepturile şi libertăţile omului” (aproape 73%), iar cea mai mică pondere</w:t>
      </w:r>
      <w:r w:rsidR="00D9500F" w:rsidRPr="00985EBC">
        <w:rPr>
          <w:rFonts w:asciiTheme="majorHAnsi" w:hAnsiTheme="majorHAnsi"/>
          <w:sz w:val="24"/>
          <w:szCs w:val="24"/>
          <w:lang w:val="ro-RO"/>
        </w:rPr>
        <w:t xml:space="preserve"> de neasigurare a respectării principiului transparenţei (0%) a fost înregistrată în domeniile: „Economie şi comerţ” şi „Educaţie, cultură, culte şi mass-media”.</w:t>
      </w:r>
    </w:p>
    <w:p w:rsidR="008B23AF" w:rsidRPr="00985EBC" w:rsidRDefault="008B23AF" w:rsidP="008B23AF">
      <w:pPr>
        <w:pStyle w:val="1"/>
        <w:rPr>
          <w:u w:val="single"/>
          <w:lang w:val="ro-RO"/>
        </w:rPr>
      </w:pPr>
    </w:p>
    <w:p w:rsidR="008B23AF" w:rsidRPr="00985EBC" w:rsidRDefault="006A22A4" w:rsidP="008B23AF">
      <w:pPr>
        <w:pStyle w:val="1"/>
        <w:jc w:val="both"/>
        <w:rPr>
          <w:rFonts w:asciiTheme="majorHAnsi" w:hAnsiTheme="majorHAnsi"/>
          <w:sz w:val="24"/>
          <w:szCs w:val="24"/>
          <w:lang w:val="ro-RO"/>
        </w:rPr>
      </w:pPr>
      <w:r w:rsidRPr="00985EBC">
        <w:rPr>
          <w:rFonts w:asciiTheme="majorHAnsi" w:hAnsiTheme="majorHAnsi"/>
          <w:sz w:val="24"/>
          <w:szCs w:val="24"/>
          <w:u w:val="single"/>
          <w:lang w:val="ro-RO"/>
        </w:rPr>
        <w:t>Exempl</w:t>
      </w:r>
      <w:r w:rsidR="00C91A5E" w:rsidRPr="00985EBC">
        <w:rPr>
          <w:rFonts w:asciiTheme="majorHAnsi" w:hAnsiTheme="majorHAnsi"/>
          <w:sz w:val="24"/>
          <w:szCs w:val="24"/>
          <w:u w:val="single"/>
          <w:lang w:val="ro-RO"/>
        </w:rPr>
        <w:t>u de nerespectare a principiului transparenţei</w:t>
      </w:r>
      <w:r w:rsidR="00C91A5E" w:rsidRPr="00985EBC">
        <w:rPr>
          <w:rFonts w:asciiTheme="majorHAnsi" w:hAnsiTheme="majorHAnsi"/>
          <w:sz w:val="24"/>
          <w:szCs w:val="24"/>
          <w:lang w:val="ro-RO"/>
        </w:rPr>
        <w:t xml:space="preserve">:  </w:t>
      </w:r>
      <w:r w:rsidRPr="00985EBC">
        <w:rPr>
          <w:rFonts w:asciiTheme="majorHAnsi" w:hAnsiTheme="majorHAnsi"/>
          <w:sz w:val="24"/>
          <w:szCs w:val="24"/>
          <w:lang w:val="ro-RO"/>
        </w:rPr>
        <w:t>Proiectul Legii privind Codul de etică și conduită a deputatului în Parlament</w:t>
      </w:r>
      <w:r w:rsidR="00C91A5E" w:rsidRPr="00985EBC">
        <w:rPr>
          <w:rFonts w:asciiTheme="majorHAnsi" w:hAnsiTheme="majorHAnsi"/>
          <w:sz w:val="24"/>
          <w:szCs w:val="24"/>
          <w:lang w:val="ro-RO"/>
        </w:rPr>
        <w:t xml:space="preserve"> (înregistrat în Parlament cu numărul 233 din 06 Iunie 2013, </w:t>
      </w:r>
      <w:r w:rsidR="008B23AF" w:rsidRPr="00985EBC">
        <w:rPr>
          <w:rFonts w:asciiTheme="majorHAnsi" w:hAnsiTheme="majorHAnsi"/>
          <w:sz w:val="24"/>
          <w:szCs w:val="24"/>
          <w:lang w:val="ro-RO"/>
        </w:rPr>
        <w:t xml:space="preserve">statutul proiectului </w:t>
      </w:r>
      <w:r w:rsidR="00C91A5E" w:rsidRPr="00985EBC">
        <w:rPr>
          <w:rFonts w:asciiTheme="majorHAnsi" w:hAnsiTheme="majorHAnsi"/>
          <w:sz w:val="24"/>
          <w:szCs w:val="24"/>
          <w:lang w:val="ro-RO"/>
        </w:rPr>
        <w:t>-</w:t>
      </w:r>
      <w:r w:rsidR="008B23AF" w:rsidRPr="00985EBC">
        <w:rPr>
          <w:rFonts w:asciiTheme="majorHAnsi" w:hAnsiTheme="majorHAnsi"/>
          <w:sz w:val="24"/>
          <w:szCs w:val="24"/>
          <w:lang w:val="ro-RO"/>
        </w:rPr>
        <w:t xml:space="preserve"> </w:t>
      </w:r>
      <w:r w:rsidR="00C91A5E" w:rsidRPr="00985EBC">
        <w:rPr>
          <w:rFonts w:asciiTheme="majorHAnsi" w:hAnsiTheme="majorHAnsi"/>
          <w:sz w:val="24"/>
          <w:szCs w:val="24"/>
          <w:lang w:val="ro-RO"/>
        </w:rPr>
        <w:t xml:space="preserve"> în proces de examinare). Raportul de expertiză a CAPC, în legătură cu </w:t>
      </w:r>
      <w:r w:rsidR="008B23AF" w:rsidRPr="00985EBC">
        <w:rPr>
          <w:rFonts w:asciiTheme="majorHAnsi" w:hAnsiTheme="majorHAnsi"/>
          <w:sz w:val="24"/>
          <w:szCs w:val="24"/>
          <w:lang w:val="ro-RO"/>
        </w:rPr>
        <w:t xml:space="preserve">nerespectarea </w:t>
      </w:r>
      <w:r w:rsidR="00C91A5E" w:rsidRPr="00985EBC">
        <w:rPr>
          <w:rFonts w:asciiTheme="majorHAnsi" w:hAnsiTheme="majorHAnsi"/>
          <w:sz w:val="24"/>
          <w:szCs w:val="24"/>
          <w:lang w:val="ro-RO"/>
        </w:rPr>
        <w:t>principiul</w:t>
      </w:r>
      <w:r w:rsidR="008B23AF" w:rsidRPr="00985EBC">
        <w:rPr>
          <w:rFonts w:asciiTheme="majorHAnsi" w:hAnsiTheme="majorHAnsi"/>
          <w:sz w:val="24"/>
          <w:szCs w:val="24"/>
          <w:lang w:val="ro-RO"/>
        </w:rPr>
        <w:t>ui</w:t>
      </w:r>
      <w:r w:rsidR="00C91A5E" w:rsidRPr="00985EBC">
        <w:rPr>
          <w:rFonts w:asciiTheme="majorHAnsi" w:hAnsiTheme="majorHAnsi"/>
          <w:sz w:val="24"/>
          <w:szCs w:val="24"/>
          <w:lang w:val="ro-RO"/>
        </w:rPr>
        <w:t xml:space="preserve"> transparenţei a reţinut următoarele:  </w:t>
      </w:r>
    </w:p>
    <w:p w:rsidR="00C91A5E" w:rsidRPr="00985EBC" w:rsidRDefault="00C91A5E" w:rsidP="00EC15F7">
      <w:pPr>
        <w:pStyle w:val="1"/>
        <w:shd w:val="clear" w:color="auto" w:fill="DBE5F1" w:themeFill="accent1" w:themeFillTint="33"/>
        <w:ind w:left="1134"/>
        <w:jc w:val="both"/>
        <w:rPr>
          <w:rFonts w:asciiTheme="majorHAnsi" w:hAnsiTheme="majorHAnsi"/>
          <w:sz w:val="18"/>
          <w:szCs w:val="18"/>
          <w:lang w:val="ro-RO"/>
        </w:rPr>
      </w:pPr>
      <w:r w:rsidRPr="00985EBC">
        <w:rPr>
          <w:rFonts w:asciiTheme="majorHAnsi" w:hAnsiTheme="majorHAnsi"/>
          <w:sz w:val="18"/>
          <w:szCs w:val="18"/>
          <w:lang w:val="ro-RO"/>
        </w:rPr>
        <w:t>„</w:t>
      </w:r>
      <w:r w:rsidRPr="00985EBC">
        <w:rPr>
          <w:rFonts w:asciiTheme="majorHAnsi" w:hAnsiTheme="majorHAnsi"/>
          <w:i/>
          <w:sz w:val="18"/>
          <w:szCs w:val="18"/>
          <w:lang w:val="ro-RO"/>
        </w:rPr>
        <w:t>În partea ce ţine de principiul transparenţei, acesta nu este asigurat. Principiul transparenţei, pornind de la art. 4 alin. (2) lit. f) din proiect, se regăseşte între principiile de conduită a deputatului. Astfel, potrivit normelor pre-citate, deputaţii trebuie să asigure transparenţa în activitatea lor, avînd obligaţia menţinerii unui dialog permanent cu cetăţenii pe problemele care îi interesează şi care rezultă din asumarea şi exercitarea mandatului de deputat. În fapt, era importantă asigurarea transparenţei în procesul de numire şi în activitatea Comisarului pentru etică, precum şi garantarea transparenţei rezultatelor investigării cazurilor de încălcare a eticii de deputat, de rînd cu transparenţa procesului de examinare a cazurilor de către Comisia juridică, numiri şi imunităţi. În acest sens, proiectul nu conţine norme exprese care ar asigura că actorii-cheie (Comisarul pentru etică; Comisia juridică, numiri şi imunităţi; Parlamentul) vor oferi informaţii accesibile, uşor disponibile, relevante şi actualizate privind punerea în aplicare a legii. Totodată, proiectul nu stabileşte mecanisme de comunicare cu populaţia. …</w:t>
      </w:r>
      <w:r w:rsidRPr="00985EBC">
        <w:rPr>
          <w:rFonts w:asciiTheme="majorHAnsi" w:hAnsiTheme="majorHAnsi"/>
          <w:sz w:val="18"/>
          <w:szCs w:val="18"/>
          <w:lang w:val="ro-RO"/>
        </w:rPr>
        <w:t>.”</w:t>
      </w:r>
    </w:p>
    <w:p w:rsidR="008B23AF" w:rsidRPr="00985EBC" w:rsidRDefault="008B23AF" w:rsidP="008B23AF">
      <w:pPr>
        <w:pStyle w:val="1"/>
        <w:jc w:val="both"/>
        <w:rPr>
          <w:rFonts w:asciiTheme="majorHAnsi" w:hAnsiTheme="majorHAnsi"/>
          <w:u w:val="single"/>
          <w:lang w:val="ro-RO"/>
        </w:rPr>
      </w:pPr>
    </w:p>
    <w:p w:rsidR="008B23AF" w:rsidRPr="00985EBC" w:rsidRDefault="00C91A5E" w:rsidP="008B23AF">
      <w:pPr>
        <w:pStyle w:val="1"/>
        <w:jc w:val="both"/>
        <w:rPr>
          <w:rFonts w:asciiTheme="majorHAnsi" w:hAnsiTheme="majorHAnsi"/>
          <w:sz w:val="24"/>
          <w:szCs w:val="24"/>
          <w:lang w:val="ro-RO"/>
        </w:rPr>
      </w:pPr>
      <w:r w:rsidRPr="00985EBC">
        <w:rPr>
          <w:rFonts w:asciiTheme="majorHAnsi" w:hAnsiTheme="majorHAnsi"/>
          <w:sz w:val="24"/>
          <w:szCs w:val="24"/>
          <w:u w:val="single"/>
          <w:lang w:val="ro-RO"/>
        </w:rPr>
        <w:t>Exemplu de respectare a principiului transparenţei</w:t>
      </w:r>
      <w:r w:rsidRPr="00985EBC">
        <w:rPr>
          <w:rFonts w:asciiTheme="majorHAnsi" w:hAnsiTheme="majorHAnsi"/>
          <w:sz w:val="24"/>
          <w:szCs w:val="24"/>
          <w:lang w:val="ro-RO"/>
        </w:rPr>
        <w:t xml:space="preserve">:  </w:t>
      </w:r>
      <w:hyperlink r:id="rId20" w:history="1">
        <w:r w:rsidR="003A2DA3" w:rsidRPr="00985EBC">
          <w:rPr>
            <w:rFonts w:asciiTheme="majorHAnsi" w:hAnsiTheme="majorHAnsi" w:cs="Arial"/>
            <w:sz w:val="24"/>
            <w:szCs w:val="24"/>
            <w:lang w:val="ro-RO"/>
          </w:rPr>
          <w:t>Proiectul legii cu privire la parcurile din industria tehnologiei informa</w:t>
        </w:r>
        <w:r w:rsidR="003A2DA3" w:rsidRPr="00985EBC">
          <w:rPr>
            <w:rFonts w:asciiTheme="majorHAnsi" w:hAnsiTheme="majorHAnsi" w:cs="Cambria Math"/>
            <w:sz w:val="24"/>
            <w:szCs w:val="24"/>
            <w:lang w:val="ro-RO"/>
          </w:rPr>
          <w:t>ţ</w:t>
        </w:r>
        <w:r w:rsidR="003A2DA3" w:rsidRPr="00985EBC">
          <w:rPr>
            <w:rFonts w:asciiTheme="majorHAnsi" w:hAnsiTheme="majorHAnsi" w:cs="Arial"/>
            <w:sz w:val="24"/>
            <w:szCs w:val="24"/>
            <w:lang w:val="ro-RO"/>
          </w:rPr>
          <w:t>iei</w:t>
        </w:r>
      </w:hyperlink>
      <w:r w:rsidR="003A2DA3" w:rsidRPr="00985EBC">
        <w:rPr>
          <w:rFonts w:asciiTheme="majorHAnsi" w:hAnsiTheme="majorHAnsi"/>
          <w:sz w:val="24"/>
          <w:szCs w:val="24"/>
          <w:lang w:val="ro-RO"/>
        </w:rPr>
        <w:t xml:space="preserve"> (înregistrat în Parlament cu numărul 370 din 01 octombrie 2014, statut</w:t>
      </w:r>
      <w:r w:rsidR="008B23AF" w:rsidRPr="00985EBC">
        <w:rPr>
          <w:rFonts w:asciiTheme="majorHAnsi" w:hAnsiTheme="majorHAnsi"/>
          <w:sz w:val="24"/>
          <w:szCs w:val="24"/>
          <w:lang w:val="ro-RO"/>
        </w:rPr>
        <w:t>ul proiectului</w:t>
      </w:r>
      <w:r w:rsidR="003A2DA3" w:rsidRPr="00985EBC">
        <w:rPr>
          <w:rFonts w:asciiTheme="majorHAnsi" w:hAnsiTheme="majorHAnsi"/>
          <w:sz w:val="24"/>
          <w:szCs w:val="24"/>
          <w:lang w:val="ro-RO"/>
        </w:rPr>
        <w:t xml:space="preserve"> - în proces de examinare). Raportul de expertiză a CAPC, în legătură cu respectarea principiului transparenţei a reţinut următoarele:  </w:t>
      </w:r>
    </w:p>
    <w:p w:rsidR="001B573E" w:rsidRPr="00985EBC" w:rsidRDefault="003A2DA3" w:rsidP="00EC15F7">
      <w:pPr>
        <w:pStyle w:val="1"/>
        <w:shd w:val="clear" w:color="auto" w:fill="DBE5F1" w:themeFill="accent1" w:themeFillTint="33"/>
        <w:ind w:left="1134"/>
        <w:jc w:val="both"/>
        <w:rPr>
          <w:rFonts w:asciiTheme="majorHAnsi" w:hAnsiTheme="majorHAnsi"/>
          <w:i/>
          <w:sz w:val="18"/>
          <w:szCs w:val="18"/>
          <w:lang w:val="ro-RO"/>
        </w:rPr>
      </w:pPr>
      <w:r w:rsidRPr="00985EBC">
        <w:rPr>
          <w:rFonts w:asciiTheme="majorHAnsi" w:hAnsiTheme="majorHAnsi"/>
          <w:i/>
          <w:sz w:val="18"/>
          <w:szCs w:val="18"/>
          <w:lang w:val="ro-RO"/>
        </w:rPr>
        <w:t>„…. proiectul Legii conţine prevederi, care obligă Administraţia parcurilor din industria tehnologiei informaţiei să ofere informaţii accesibile, uşor disponibile, relevante şi actualizate. Totodată, proiectul stabileşte şi unele mecanisme de comunicare cu persoanele interesate de activitatea parcurilor.”</w:t>
      </w:r>
    </w:p>
    <w:p w:rsidR="003A2DA3" w:rsidRPr="00985EBC" w:rsidRDefault="003A2DA3" w:rsidP="00400170">
      <w:pPr>
        <w:rPr>
          <w:rFonts w:asciiTheme="majorHAnsi" w:hAnsiTheme="majorHAnsi"/>
          <w:lang w:val="ro-RO"/>
        </w:rPr>
      </w:pPr>
    </w:p>
    <w:p w:rsidR="00AC61CB" w:rsidRPr="007C7079" w:rsidRDefault="003C214A" w:rsidP="007139C9">
      <w:pPr>
        <w:pStyle w:val="Heading1"/>
        <w:rPr>
          <w:lang w:val="ro-RO"/>
        </w:rPr>
      </w:pPr>
      <w:bookmarkStart w:id="17" w:name="_Toc409790624"/>
      <w:r w:rsidRPr="007C7079">
        <w:rPr>
          <w:lang w:val="ro-RO"/>
        </w:rPr>
        <w:t xml:space="preserve">III.6.2 </w:t>
      </w:r>
      <w:r w:rsidR="005751CE" w:rsidRPr="007C7079">
        <w:rPr>
          <w:lang w:val="ro-RO"/>
        </w:rPr>
        <w:t>Principiul participării</w:t>
      </w:r>
      <w:bookmarkEnd w:id="17"/>
    </w:p>
    <w:p w:rsidR="006108C0" w:rsidRPr="00985EBC" w:rsidRDefault="006108C0" w:rsidP="006108C0">
      <w:pPr>
        <w:rPr>
          <w:lang w:val="ro-RO"/>
        </w:rPr>
      </w:pPr>
    </w:p>
    <w:p w:rsidR="004549D7" w:rsidRPr="00985EBC" w:rsidRDefault="004549D7" w:rsidP="004549D7">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Principiul participării asigură dreptul persoanei de a participa la dezbaterile publice asupra proiectului actului normativ, pentru a-şi expune opinia şi de a înainta propriile propuneri. Participarea constituie atît un rezultat, cît şi un proces, vizînd următoarele elemente-cheie:</w:t>
      </w:r>
    </w:p>
    <w:p w:rsidR="004549D7" w:rsidRPr="00985EBC" w:rsidRDefault="004549D7" w:rsidP="004549D7">
      <w:pPr>
        <w:pStyle w:val="ListParagraph1"/>
        <w:numPr>
          <w:ilvl w:val="0"/>
          <w:numId w:val="19"/>
        </w:numPr>
        <w:spacing w:after="0" w:line="240" w:lineRule="auto"/>
        <w:jc w:val="both"/>
        <w:rPr>
          <w:rFonts w:ascii="Cambria" w:hAnsi="Cambria" w:cs="Arial"/>
          <w:sz w:val="24"/>
          <w:szCs w:val="24"/>
        </w:rPr>
      </w:pPr>
      <w:r w:rsidRPr="00985EBC">
        <w:rPr>
          <w:rFonts w:ascii="Cambria" w:hAnsi="Cambria" w:cs="Arial"/>
          <w:sz w:val="24"/>
          <w:szCs w:val="24"/>
        </w:rPr>
        <w:t>orice persoană trebuie să aibă dreptul, în cea mai mare măsură posibilă, la participarea şi influenţarea tuturor deciziilor politice şi administrative, care o afectează nemijlocit pe ea. Acest drept include deţinerea completă a tuturor informaţiilor de bază referitoare la astfel de decizii, precum şi participarea la şedinţele respective, ce au ca scop adoptarea deciziilor;</w:t>
      </w:r>
    </w:p>
    <w:p w:rsidR="004549D7" w:rsidRPr="00985EBC" w:rsidRDefault="004549D7" w:rsidP="004549D7">
      <w:pPr>
        <w:pStyle w:val="ListParagraph1"/>
        <w:numPr>
          <w:ilvl w:val="0"/>
          <w:numId w:val="19"/>
        </w:numPr>
        <w:spacing w:after="0" w:line="240" w:lineRule="auto"/>
        <w:jc w:val="both"/>
        <w:rPr>
          <w:rFonts w:ascii="Cambria" w:hAnsi="Cambria" w:cs="Arial"/>
          <w:sz w:val="24"/>
          <w:szCs w:val="24"/>
        </w:rPr>
      </w:pPr>
      <w:r w:rsidRPr="00985EBC">
        <w:rPr>
          <w:rFonts w:ascii="Cambria" w:hAnsi="Cambria" w:cs="Arial"/>
          <w:sz w:val="24"/>
          <w:szCs w:val="24"/>
        </w:rPr>
        <w:lastRenderedPageBreak/>
        <w:t>participarea reprezentanţilor şi promotorilor intereselor membrilor anumitor grupuri (minorităţi, grupuri vulnerabile, etc.) poate constitui o alternativă pentru participarea directă constantă</w:t>
      </w:r>
      <w:r w:rsidR="005751CE" w:rsidRPr="00985EBC">
        <w:rPr>
          <w:rStyle w:val="FootnoteReference"/>
          <w:rFonts w:ascii="Cambria" w:hAnsi="Cambria" w:cs="Arial"/>
          <w:sz w:val="24"/>
          <w:szCs w:val="24"/>
        </w:rPr>
        <w:footnoteReference w:id="4"/>
      </w:r>
      <w:r w:rsidRPr="00985EBC">
        <w:rPr>
          <w:rFonts w:ascii="Cambria" w:hAnsi="Cambria" w:cs="Arial"/>
          <w:sz w:val="24"/>
          <w:szCs w:val="24"/>
        </w:rPr>
        <w:t>.</w:t>
      </w:r>
    </w:p>
    <w:p w:rsidR="00AC61CB" w:rsidRPr="00985EBC" w:rsidRDefault="00AC61CB">
      <w:pPr>
        <w:rPr>
          <w:lang w:val="ro-RO"/>
        </w:rPr>
      </w:pPr>
    </w:p>
    <w:p w:rsidR="005751CE" w:rsidRPr="00985EBC" w:rsidRDefault="005751CE" w:rsidP="005751CE">
      <w:pPr>
        <w:rPr>
          <w:rFonts w:asciiTheme="majorHAnsi" w:hAnsiTheme="majorHAnsi"/>
          <w:sz w:val="24"/>
          <w:szCs w:val="24"/>
          <w:lang w:val="ro-RO"/>
        </w:rPr>
      </w:pPr>
      <w:r w:rsidRPr="00985EBC">
        <w:rPr>
          <w:rFonts w:asciiTheme="majorHAnsi" w:hAnsiTheme="majorHAnsi"/>
          <w:sz w:val="24"/>
          <w:szCs w:val="24"/>
          <w:lang w:val="ro-RO"/>
        </w:rPr>
        <w:t>În scopul evaluării</w:t>
      </w:r>
      <w:r w:rsidR="00E16E12" w:rsidRPr="00985EBC">
        <w:rPr>
          <w:rFonts w:asciiTheme="majorHAnsi" w:hAnsiTheme="majorHAnsi"/>
          <w:sz w:val="24"/>
          <w:szCs w:val="24"/>
          <w:lang w:val="ro-RO"/>
        </w:rPr>
        <w:t>,</w:t>
      </w:r>
      <w:r w:rsidRPr="00985EBC">
        <w:rPr>
          <w:rFonts w:asciiTheme="majorHAnsi" w:hAnsiTheme="majorHAnsi"/>
          <w:sz w:val="24"/>
          <w:szCs w:val="24"/>
          <w:lang w:val="ro-RO"/>
        </w:rPr>
        <w:t xml:space="preserve"> dacă în procesul aplicării legii</w:t>
      </w:r>
      <w:r w:rsidR="00E16E12" w:rsidRPr="00985EBC">
        <w:rPr>
          <w:rFonts w:asciiTheme="majorHAnsi" w:hAnsiTheme="majorHAnsi"/>
          <w:sz w:val="24"/>
          <w:szCs w:val="24"/>
          <w:lang w:val="ro-RO"/>
        </w:rPr>
        <w:t>,</w:t>
      </w:r>
      <w:r w:rsidRPr="00985EBC">
        <w:rPr>
          <w:rFonts w:asciiTheme="majorHAnsi" w:hAnsiTheme="majorHAnsi"/>
          <w:sz w:val="24"/>
          <w:szCs w:val="24"/>
          <w:lang w:val="ro-RO"/>
        </w:rPr>
        <w:t xml:space="preserve"> va fi asigurată respectarea principiului publ</w:t>
      </w:r>
      <w:r w:rsidR="00E16E12" w:rsidRPr="00985EBC">
        <w:rPr>
          <w:rFonts w:asciiTheme="majorHAnsi" w:hAnsiTheme="majorHAnsi"/>
          <w:sz w:val="24"/>
          <w:szCs w:val="24"/>
          <w:lang w:val="ro-RO"/>
        </w:rPr>
        <w:t>i</w:t>
      </w:r>
      <w:r w:rsidRPr="00985EBC">
        <w:rPr>
          <w:rFonts w:asciiTheme="majorHAnsi" w:hAnsiTheme="majorHAnsi"/>
          <w:sz w:val="24"/>
          <w:szCs w:val="24"/>
          <w:lang w:val="ro-RO"/>
        </w:rPr>
        <w:t>cităţii, experţii au verificat următoarele aspecte:</w:t>
      </w:r>
    </w:p>
    <w:p w:rsidR="00C24D3E" w:rsidRPr="00985EBC" w:rsidRDefault="005751CE" w:rsidP="004F0CEC">
      <w:pPr>
        <w:pStyle w:val="ListParagraph"/>
        <w:numPr>
          <w:ilvl w:val="0"/>
          <w:numId w:val="22"/>
        </w:numPr>
        <w:jc w:val="both"/>
        <w:rPr>
          <w:rFonts w:asciiTheme="majorHAnsi" w:hAnsiTheme="majorHAnsi"/>
          <w:lang w:val="ro-RO"/>
        </w:rPr>
      </w:pPr>
      <w:r w:rsidRPr="00985EBC">
        <w:rPr>
          <w:rFonts w:asciiTheme="majorHAnsi" w:hAnsiTheme="majorHAnsi"/>
          <w:lang w:val="ro-RO"/>
        </w:rPr>
        <w:t>dacă p</w:t>
      </w:r>
      <w:r w:rsidR="008504E9" w:rsidRPr="00985EBC">
        <w:rPr>
          <w:rFonts w:asciiTheme="majorHAnsi" w:hAnsiTheme="majorHAnsi"/>
          <w:lang w:val="ro-RO"/>
        </w:rPr>
        <w:t>roiectul conţine prevederi, care stabilesc un mecanism, care să permită exprimarea opiniei</w:t>
      </w:r>
      <w:r w:rsidRPr="00985EBC">
        <w:rPr>
          <w:rFonts w:asciiTheme="majorHAnsi" w:hAnsiTheme="majorHAnsi"/>
          <w:lang w:val="ro-RO"/>
        </w:rPr>
        <w:t>;</w:t>
      </w:r>
    </w:p>
    <w:p w:rsidR="008504E9" w:rsidRPr="00985EBC" w:rsidRDefault="005751CE" w:rsidP="004F0CEC">
      <w:pPr>
        <w:pStyle w:val="ListParagraph"/>
        <w:numPr>
          <w:ilvl w:val="0"/>
          <w:numId w:val="22"/>
        </w:numPr>
        <w:jc w:val="both"/>
        <w:rPr>
          <w:rFonts w:asciiTheme="majorHAnsi" w:hAnsiTheme="majorHAnsi"/>
          <w:lang w:val="ro-RO"/>
        </w:rPr>
      </w:pPr>
      <w:r w:rsidRPr="00985EBC">
        <w:rPr>
          <w:rFonts w:asciiTheme="majorHAnsi" w:hAnsiTheme="majorHAnsi"/>
          <w:lang w:val="ro-RO"/>
        </w:rPr>
        <w:t>dacă p</w:t>
      </w:r>
      <w:r w:rsidR="008504E9" w:rsidRPr="00985EBC">
        <w:rPr>
          <w:rFonts w:asciiTheme="majorHAnsi" w:hAnsiTheme="majorHAnsi"/>
          <w:lang w:val="ro-RO"/>
        </w:rPr>
        <w:t>roiectul conţine prevederi exprese/tacite, care stabilesc un mecanism, care să permită luarea în consideraţie a opiniei exprimate</w:t>
      </w:r>
      <w:r w:rsidRPr="00985EBC">
        <w:rPr>
          <w:rFonts w:asciiTheme="majorHAnsi" w:hAnsiTheme="majorHAnsi"/>
          <w:lang w:val="ro-RO"/>
        </w:rPr>
        <w:t>;</w:t>
      </w:r>
    </w:p>
    <w:p w:rsidR="008504E9" w:rsidRPr="00985EBC" w:rsidRDefault="005751CE" w:rsidP="004F0CEC">
      <w:pPr>
        <w:pStyle w:val="ListParagraph"/>
        <w:numPr>
          <w:ilvl w:val="0"/>
          <w:numId w:val="22"/>
        </w:numPr>
        <w:jc w:val="both"/>
        <w:rPr>
          <w:rFonts w:asciiTheme="majorHAnsi" w:hAnsiTheme="majorHAnsi"/>
          <w:lang w:val="ro-RO"/>
        </w:rPr>
      </w:pPr>
      <w:r w:rsidRPr="00985EBC">
        <w:rPr>
          <w:rFonts w:asciiTheme="majorHAnsi" w:hAnsiTheme="majorHAnsi"/>
          <w:lang w:val="ro-RO"/>
        </w:rPr>
        <w:t>dacă p</w:t>
      </w:r>
      <w:r w:rsidR="008504E9" w:rsidRPr="00985EBC">
        <w:rPr>
          <w:rFonts w:asciiTheme="majorHAnsi" w:hAnsiTheme="majorHAnsi"/>
          <w:lang w:val="ro-RO"/>
        </w:rPr>
        <w:t>roiectul instituie structuri semi-permanente, în cadrul cărora reprezentanţii publici (sau reprezentanţii părţilor interesate) vor fi consultaţi, în diferite etape ale procesului decizional</w:t>
      </w:r>
      <w:r w:rsidRPr="00985EBC">
        <w:rPr>
          <w:rFonts w:asciiTheme="majorHAnsi" w:hAnsiTheme="majorHAnsi"/>
          <w:lang w:val="ro-RO"/>
        </w:rPr>
        <w:t>.</w:t>
      </w:r>
    </w:p>
    <w:p w:rsidR="008504E9" w:rsidRPr="00985EBC" w:rsidRDefault="008504E9">
      <w:pPr>
        <w:rPr>
          <w:lang w:val="ro-RO"/>
        </w:rPr>
      </w:pPr>
    </w:p>
    <w:p w:rsidR="00E568ED" w:rsidRPr="00985EBC" w:rsidRDefault="00E568ED" w:rsidP="00E568ED">
      <w:pPr>
        <w:rPr>
          <w:rFonts w:asciiTheme="majorHAnsi" w:eastAsia="Times New Roman" w:hAnsiTheme="majorHAnsi" w:cs="Times New Roman"/>
          <w:sz w:val="24"/>
          <w:szCs w:val="24"/>
          <w:lang w:val="ro-RO" w:eastAsia="ru-RU"/>
        </w:rPr>
      </w:pPr>
      <w:r w:rsidRPr="00985EBC">
        <w:rPr>
          <w:rFonts w:asciiTheme="majorHAnsi" w:hAnsiTheme="majorHAnsi"/>
          <w:sz w:val="24"/>
          <w:szCs w:val="24"/>
          <w:lang w:val="ro-RO"/>
        </w:rPr>
        <w:t xml:space="preserve">Analizînd </w:t>
      </w:r>
      <w:r w:rsidR="0064146D" w:rsidRPr="00985EBC">
        <w:rPr>
          <w:rFonts w:asciiTheme="majorHAnsi" w:hAnsiTheme="majorHAnsi"/>
          <w:sz w:val="24"/>
          <w:szCs w:val="24"/>
          <w:lang w:val="ro-RO"/>
        </w:rPr>
        <w:t xml:space="preserve">datele din </w:t>
      </w:r>
      <w:r w:rsidRPr="00985EBC">
        <w:rPr>
          <w:rFonts w:asciiTheme="majorHAnsi" w:hAnsiTheme="majorHAnsi"/>
          <w:sz w:val="24"/>
          <w:szCs w:val="24"/>
          <w:lang w:val="ro-RO"/>
        </w:rPr>
        <w:t>figura de mai jos</w:t>
      </w:r>
      <w:r w:rsidR="004F0CEC">
        <w:rPr>
          <w:rFonts w:asciiTheme="majorHAnsi" w:hAnsiTheme="majorHAnsi"/>
          <w:sz w:val="24"/>
          <w:szCs w:val="24"/>
          <w:lang w:val="ro-RO"/>
        </w:rPr>
        <w:t>,</w:t>
      </w:r>
      <w:r w:rsidRPr="00985EBC">
        <w:rPr>
          <w:rFonts w:asciiTheme="majorHAnsi" w:eastAsia="Times New Roman" w:hAnsiTheme="majorHAnsi" w:cs="Times New Roman"/>
          <w:sz w:val="24"/>
          <w:szCs w:val="24"/>
          <w:lang w:val="ro-RO" w:eastAsia="ru-RU"/>
        </w:rPr>
        <w:t xml:space="preserve"> constatăm că garanţiile şi mecanismele legale stabilite în 44,16% din proiectele expertizate de CAPC nu vor asigura de o manieră suficientă respectarea principiului participării, iar în cazul a 6,49% din proiecte, principiul participării nu va fi asigurată. Totuşi, în 37,66% din proiectele de legi examinate în Parlament, respectarea principiului participării este asigurată suficient. </w:t>
      </w:r>
    </w:p>
    <w:p w:rsidR="00AD16EC" w:rsidRPr="00985EBC" w:rsidRDefault="00AD16EC" w:rsidP="00E568ED">
      <w:pPr>
        <w:rPr>
          <w:rFonts w:asciiTheme="majorHAnsi" w:eastAsia="Times New Roman" w:hAnsiTheme="majorHAnsi" w:cs="Times New Roman"/>
          <w:sz w:val="24"/>
          <w:szCs w:val="24"/>
          <w:lang w:val="ro-RO" w:eastAsia="ru-RU"/>
        </w:rPr>
      </w:pPr>
    </w:p>
    <w:p w:rsidR="00B654D6" w:rsidRPr="00985EBC" w:rsidRDefault="00AD16EC">
      <w:pPr>
        <w:rPr>
          <w:lang w:val="ro-RO"/>
        </w:rPr>
      </w:pPr>
      <w:r w:rsidRPr="00985EBC">
        <w:rPr>
          <w:rFonts w:asciiTheme="majorHAnsi" w:eastAsia="Times New Roman" w:hAnsiTheme="majorHAnsi" w:cs="Times New Roman"/>
          <w:b/>
          <w:i/>
          <w:sz w:val="16"/>
          <w:szCs w:val="16"/>
          <w:lang w:val="ro-RO" w:eastAsia="ru-RU"/>
        </w:rPr>
        <w:t>Figura</w:t>
      </w:r>
      <w:r w:rsidR="003C214A" w:rsidRPr="00985EBC">
        <w:rPr>
          <w:rFonts w:asciiTheme="majorHAnsi" w:eastAsia="Times New Roman" w:hAnsiTheme="majorHAnsi" w:cs="Times New Roman"/>
          <w:b/>
          <w:i/>
          <w:sz w:val="16"/>
          <w:szCs w:val="16"/>
          <w:lang w:val="ro-RO" w:eastAsia="ru-RU"/>
        </w:rPr>
        <w:t xml:space="preserve"> 8.</w:t>
      </w:r>
      <w:r w:rsidRPr="00985EBC">
        <w:rPr>
          <w:rFonts w:asciiTheme="majorHAnsi" w:eastAsia="Times New Roman" w:hAnsiTheme="majorHAnsi" w:cs="Times New Roman"/>
          <w:b/>
          <w:i/>
          <w:sz w:val="16"/>
          <w:szCs w:val="16"/>
          <w:lang w:val="ro-RO" w:eastAsia="ru-RU"/>
        </w:rPr>
        <w:t xml:space="preserve"> </w:t>
      </w:r>
      <w:r w:rsidRPr="00985EBC">
        <w:rPr>
          <w:rFonts w:asciiTheme="majorHAnsi" w:eastAsia="Times New Roman" w:hAnsiTheme="majorHAnsi" w:cs="Times New Roman"/>
          <w:i/>
          <w:sz w:val="16"/>
          <w:szCs w:val="16"/>
          <w:lang w:val="ro-RO" w:eastAsia="ru-RU"/>
        </w:rPr>
        <w:t>Respectarea principiului particip</w:t>
      </w:r>
      <w:r w:rsidR="00D05515" w:rsidRPr="00985EBC">
        <w:rPr>
          <w:rFonts w:asciiTheme="majorHAnsi" w:eastAsia="Times New Roman" w:hAnsiTheme="majorHAnsi" w:cs="Times New Roman"/>
          <w:i/>
          <w:sz w:val="16"/>
          <w:szCs w:val="16"/>
          <w:lang w:val="ro-RO" w:eastAsia="ru-RU"/>
        </w:rPr>
        <w:t>ării</w:t>
      </w:r>
    </w:p>
    <w:p w:rsidR="00C24D3E" w:rsidRPr="00985EBC" w:rsidRDefault="00AD16EC" w:rsidP="007C7079">
      <w:pPr>
        <w:jc w:val="center"/>
        <w:rPr>
          <w:lang w:val="ro-RO"/>
        </w:rPr>
      </w:pPr>
      <w:r w:rsidRPr="00985EBC">
        <w:rPr>
          <w:noProof/>
          <w:lang w:eastAsia="ru-RU"/>
        </w:rPr>
        <w:drawing>
          <wp:inline distT="0" distB="0" distL="0" distR="0">
            <wp:extent cx="5686425" cy="2238375"/>
            <wp:effectExtent l="76200" t="38100" r="9525" b="952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A3085" w:rsidRPr="00985EBC" w:rsidRDefault="000A3085">
      <w:pPr>
        <w:rPr>
          <w:lang w:val="ro-RO"/>
        </w:rPr>
      </w:pPr>
    </w:p>
    <w:p w:rsidR="000A3085" w:rsidRPr="00985EBC" w:rsidRDefault="000A3085">
      <w:pPr>
        <w:rPr>
          <w:lang w:val="ro-RO"/>
        </w:rPr>
      </w:pPr>
    </w:p>
    <w:p w:rsidR="00E568ED" w:rsidRPr="00985EBC" w:rsidRDefault="00C41566" w:rsidP="00E568ED">
      <w:pPr>
        <w:rPr>
          <w:rFonts w:asciiTheme="majorHAnsi" w:hAnsiTheme="majorHAnsi"/>
          <w:sz w:val="24"/>
          <w:szCs w:val="24"/>
          <w:lang w:val="ro-RO"/>
        </w:rPr>
      </w:pPr>
      <w:r w:rsidRPr="00985EBC">
        <w:rPr>
          <w:rFonts w:asciiTheme="majorHAnsi" w:hAnsiTheme="majorHAnsi"/>
          <w:sz w:val="24"/>
          <w:szCs w:val="24"/>
          <w:lang w:val="ro-RO"/>
        </w:rPr>
        <w:t>Cea mai mare pondere a respectării principiului participării a fost înregistrată în domeniul IV “Educaţie, cultură, culte şi mass-media”. La fel, acest domeniu de reglementare a legislaţiei este lider şi la absenţa proiectelor de legi, prin aplicarea cărora principiul participării nu va fi respectat.</w:t>
      </w:r>
    </w:p>
    <w:p w:rsidR="00C24D3E" w:rsidRPr="00985EBC" w:rsidRDefault="00C24D3E">
      <w:pPr>
        <w:rPr>
          <w:lang w:val="ro-RO"/>
        </w:rPr>
      </w:pPr>
    </w:p>
    <w:p w:rsidR="00F72E7A" w:rsidRPr="00985EBC" w:rsidRDefault="001A4C7A" w:rsidP="00A838C4">
      <w:pPr>
        <w:rPr>
          <w:rFonts w:asciiTheme="majorHAnsi" w:hAnsiTheme="majorHAnsi"/>
          <w:bCs/>
          <w:sz w:val="24"/>
          <w:szCs w:val="24"/>
          <w:lang w:val="ro-RO"/>
        </w:rPr>
      </w:pPr>
      <w:r w:rsidRPr="00985EBC">
        <w:rPr>
          <w:rFonts w:asciiTheme="majorHAnsi" w:hAnsiTheme="majorHAnsi"/>
          <w:bCs/>
          <w:sz w:val="24"/>
          <w:szCs w:val="24"/>
          <w:u w:val="single"/>
          <w:lang w:val="ro-RO"/>
        </w:rPr>
        <w:t>Exemplu de nerespectare a principiului participării</w:t>
      </w:r>
      <w:r w:rsidRPr="00985EBC">
        <w:rPr>
          <w:rFonts w:asciiTheme="majorHAnsi" w:hAnsiTheme="majorHAnsi"/>
          <w:bCs/>
          <w:sz w:val="24"/>
          <w:szCs w:val="24"/>
          <w:lang w:val="ro-RO"/>
        </w:rPr>
        <w:t xml:space="preserve">: </w:t>
      </w:r>
      <w:hyperlink r:id="rId22" w:history="1">
        <w:r w:rsidR="008F0256" w:rsidRPr="00985EBC">
          <w:rPr>
            <w:rFonts w:asciiTheme="majorHAnsi" w:eastAsia="Times New Roman" w:hAnsiTheme="majorHAnsi" w:cs="Arial"/>
            <w:sz w:val="24"/>
            <w:szCs w:val="24"/>
            <w:lang w:val="ro-RO" w:eastAsia="ru-RU"/>
          </w:rPr>
          <w:t>Proiectul L</w:t>
        </w:r>
        <w:r w:rsidRPr="00985EBC">
          <w:rPr>
            <w:rFonts w:asciiTheme="majorHAnsi" w:eastAsia="Times New Roman" w:hAnsiTheme="majorHAnsi" w:cs="Arial"/>
            <w:sz w:val="24"/>
            <w:szCs w:val="24"/>
            <w:lang w:val="ro-RO" w:eastAsia="ru-RU"/>
          </w:rPr>
          <w:t xml:space="preserve">egii privind semnătura electronică </w:t>
        </w:r>
        <w:r w:rsidRPr="00985EBC">
          <w:rPr>
            <w:rFonts w:asciiTheme="majorHAnsi" w:eastAsia="Times New Roman" w:hAnsiTheme="majorHAnsi" w:cs="Cambria Math"/>
            <w:sz w:val="24"/>
            <w:szCs w:val="24"/>
            <w:lang w:val="ro-RO" w:eastAsia="ru-RU"/>
          </w:rPr>
          <w:t>ș</w:t>
        </w:r>
        <w:r w:rsidRPr="00985EBC">
          <w:rPr>
            <w:rFonts w:asciiTheme="majorHAnsi" w:eastAsia="Times New Roman" w:hAnsiTheme="majorHAnsi" w:cs="Arial"/>
            <w:sz w:val="24"/>
            <w:szCs w:val="24"/>
            <w:lang w:val="ro-RO" w:eastAsia="ru-RU"/>
          </w:rPr>
          <w:t>i documentul electronic</w:t>
        </w:r>
      </w:hyperlink>
      <w:r w:rsidRPr="00985EBC">
        <w:rPr>
          <w:rFonts w:asciiTheme="majorHAnsi" w:hAnsiTheme="majorHAnsi"/>
          <w:sz w:val="24"/>
          <w:szCs w:val="24"/>
          <w:lang w:val="ro-RO"/>
        </w:rPr>
        <w:t xml:space="preserve"> (înregistrat în Parlament cu numărul 533 din 23 decembrie 2013, statut</w:t>
      </w:r>
      <w:r w:rsidR="008B23AF" w:rsidRPr="00985EBC">
        <w:rPr>
          <w:rFonts w:asciiTheme="majorHAnsi" w:hAnsiTheme="majorHAnsi"/>
          <w:sz w:val="24"/>
          <w:szCs w:val="24"/>
          <w:lang w:val="ro-RO"/>
        </w:rPr>
        <w:t>ul proiectului</w:t>
      </w:r>
      <w:r w:rsidRPr="00985EBC">
        <w:rPr>
          <w:rFonts w:asciiTheme="majorHAnsi" w:hAnsiTheme="majorHAnsi"/>
          <w:sz w:val="24"/>
          <w:szCs w:val="24"/>
          <w:lang w:val="ro-RO"/>
        </w:rPr>
        <w:t xml:space="preserve"> – adoptat la 30.05.2014</w:t>
      </w:r>
      <w:r w:rsidRPr="00985EBC">
        <w:rPr>
          <w:rFonts w:asciiTheme="majorHAnsi" w:hAnsiTheme="majorHAnsi"/>
          <w:bCs/>
          <w:sz w:val="24"/>
          <w:szCs w:val="24"/>
          <w:lang w:val="ro-RO"/>
        </w:rPr>
        <w:t xml:space="preserve">). Raportul de expertiză a CAPC, în legătură cu nerespectarea principiului participării a reţinut următoarele: </w:t>
      </w:r>
    </w:p>
    <w:p w:rsidR="00A838C4" w:rsidRPr="00985EBC" w:rsidRDefault="001A4C7A" w:rsidP="00EC15F7">
      <w:pPr>
        <w:shd w:val="clear" w:color="auto" w:fill="DBE5F1" w:themeFill="accent1" w:themeFillTint="33"/>
        <w:ind w:left="993"/>
        <w:rPr>
          <w:rFonts w:asciiTheme="majorHAnsi" w:hAnsiTheme="majorHAnsi"/>
          <w:bCs/>
          <w:sz w:val="18"/>
          <w:szCs w:val="18"/>
          <w:lang w:val="ro-RO"/>
        </w:rPr>
      </w:pPr>
      <w:r w:rsidRPr="00985EBC">
        <w:rPr>
          <w:rFonts w:asciiTheme="majorHAnsi" w:hAnsiTheme="majorHAnsi"/>
          <w:bCs/>
          <w:sz w:val="18"/>
          <w:szCs w:val="18"/>
          <w:lang w:val="ro-RO"/>
        </w:rPr>
        <w:t>„</w:t>
      </w:r>
      <w:r w:rsidR="00A838C4" w:rsidRPr="00985EBC">
        <w:rPr>
          <w:rFonts w:asciiTheme="majorHAnsi" w:hAnsiTheme="majorHAnsi"/>
          <w:bCs/>
          <w:i/>
          <w:sz w:val="18"/>
          <w:szCs w:val="18"/>
          <w:lang w:val="ro-RO"/>
        </w:rPr>
        <w:t>Proiectul nu face referire la posibilitatea cetă</w:t>
      </w:r>
      <w:r w:rsidRPr="00985EBC">
        <w:rPr>
          <w:rFonts w:asciiTheme="majorHAnsi" w:hAnsiTheme="majorHAnsi"/>
          <w:bCs/>
          <w:i/>
          <w:sz w:val="18"/>
          <w:szCs w:val="18"/>
          <w:lang w:val="ro-RO"/>
        </w:rPr>
        <w:t>ţ</w:t>
      </w:r>
      <w:r w:rsidR="00A838C4" w:rsidRPr="00985EBC">
        <w:rPr>
          <w:rFonts w:asciiTheme="majorHAnsi" w:hAnsiTheme="majorHAnsi"/>
          <w:bCs/>
          <w:i/>
          <w:sz w:val="18"/>
          <w:szCs w:val="18"/>
          <w:lang w:val="ro-RO"/>
        </w:rPr>
        <w:t>eanului să se expună pe marginea modului în care legea este implementată. Unica formă de comunicare cu autoritatea na</w:t>
      </w:r>
      <w:r w:rsidRPr="00985EBC">
        <w:rPr>
          <w:rFonts w:asciiTheme="majorHAnsi" w:hAnsiTheme="majorHAnsi"/>
          <w:bCs/>
          <w:i/>
          <w:sz w:val="18"/>
          <w:szCs w:val="18"/>
          <w:lang w:val="ro-RO"/>
        </w:rPr>
        <w:t>ţ</w:t>
      </w:r>
      <w:r w:rsidR="00A838C4" w:rsidRPr="00985EBC">
        <w:rPr>
          <w:rFonts w:asciiTheme="majorHAnsi" w:hAnsiTheme="majorHAnsi"/>
          <w:bCs/>
          <w:i/>
          <w:sz w:val="18"/>
          <w:szCs w:val="18"/>
          <w:lang w:val="ro-RO"/>
        </w:rPr>
        <w:t>ională competentă în domeniul semnăturii electronice are loc prin cereri și reclama</w:t>
      </w:r>
      <w:r w:rsidRPr="00985EBC">
        <w:rPr>
          <w:rFonts w:asciiTheme="majorHAnsi" w:hAnsiTheme="majorHAnsi"/>
          <w:bCs/>
          <w:i/>
          <w:sz w:val="18"/>
          <w:szCs w:val="18"/>
          <w:lang w:val="ro-RO"/>
        </w:rPr>
        <w:t>ţ</w:t>
      </w:r>
      <w:r w:rsidR="00A838C4" w:rsidRPr="00985EBC">
        <w:rPr>
          <w:rFonts w:asciiTheme="majorHAnsi" w:hAnsiTheme="majorHAnsi"/>
          <w:bCs/>
          <w:i/>
          <w:sz w:val="18"/>
          <w:szCs w:val="18"/>
          <w:lang w:val="ro-RO"/>
        </w:rPr>
        <w:t>ii scrise privind activitatea neconformă a prestatorilor de servicii de certificare.</w:t>
      </w:r>
      <w:r w:rsidRPr="00985EBC">
        <w:rPr>
          <w:rFonts w:asciiTheme="majorHAnsi" w:hAnsiTheme="majorHAnsi"/>
          <w:bCs/>
          <w:i/>
          <w:sz w:val="18"/>
          <w:szCs w:val="18"/>
          <w:lang w:val="ro-RO"/>
        </w:rPr>
        <w:t xml:space="preserve"> </w:t>
      </w:r>
      <w:r w:rsidR="00A838C4" w:rsidRPr="00985EBC">
        <w:rPr>
          <w:rFonts w:asciiTheme="majorHAnsi" w:hAnsiTheme="majorHAnsi"/>
          <w:bCs/>
          <w:i/>
          <w:sz w:val="18"/>
          <w:szCs w:val="18"/>
          <w:lang w:val="ro-RO"/>
        </w:rPr>
        <w:t>Astfel, în baza articolului 27 alin. 10 lit. b) stabilește dreptul Comisiei de control în domeniul semnăturii electronice să recurgă la verificări inopinate în cazul recep</w:t>
      </w:r>
      <w:r w:rsidRPr="00985EBC">
        <w:rPr>
          <w:rFonts w:asciiTheme="majorHAnsi" w:hAnsiTheme="majorHAnsi"/>
          <w:bCs/>
          <w:i/>
          <w:sz w:val="18"/>
          <w:szCs w:val="18"/>
          <w:lang w:val="ro-RO"/>
        </w:rPr>
        <w:t>ţ</w:t>
      </w:r>
      <w:r w:rsidR="00A838C4" w:rsidRPr="00985EBC">
        <w:rPr>
          <w:rFonts w:asciiTheme="majorHAnsi" w:hAnsiTheme="majorHAnsi"/>
          <w:bCs/>
          <w:i/>
          <w:sz w:val="18"/>
          <w:szCs w:val="18"/>
          <w:lang w:val="ro-RO"/>
        </w:rPr>
        <w:t>ionării cererilor și reclama</w:t>
      </w:r>
      <w:r w:rsidRPr="00985EBC">
        <w:rPr>
          <w:rFonts w:asciiTheme="majorHAnsi" w:hAnsiTheme="majorHAnsi"/>
          <w:bCs/>
          <w:i/>
          <w:sz w:val="18"/>
          <w:szCs w:val="18"/>
          <w:lang w:val="ro-RO"/>
        </w:rPr>
        <w:t>ţ</w:t>
      </w:r>
      <w:r w:rsidR="00A838C4" w:rsidRPr="00985EBC">
        <w:rPr>
          <w:rFonts w:asciiTheme="majorHAnsi" w:hAnsiTheme="majorHAnsi"/>
          <w:bCs/>
          <w:i/>
          <w:sz w:val="18"/>
          <w:szCs w:val="18"/>
          <w:lang w:val="ro-RO"/>
        </w:rPr>
        <w:t xml:space="preserve">iilor scrise argumentate ce </w:t>
      </w:r>
      <w:r w:rsidRPr="00985EBC">
        <w:rPr>
          <w:rFonts w:asciiTheme="majorHAnsi" w:hAnsiTheme="majorHAnsi"/>
          <w:bCs/>
          <w:i/>
          <w:sz w:val="18"/>
          <w:szCs w:val="18"/>
          <w:lang w:val="ro-RO"/>
        </w:rPr>
        <w:t>ţ</w:t>
      </w:r>
      <w:r w:rsidR="00A838C4" w:rsidRPr="00985EBC">
        <w:rPr>
          <w:rFonts w:asciiTheme="majorHAnsi" w:hAnsiTheme="majorHAnsi"/>
          <w:bCs/>
          <w:i/>
          <w:sz w:val="18"/>
          <w:szCs w:val="18"/>
          <w:lang w:val="ro-RO"/>
        </w:rPr>
        <w:t>in de încălcarea și îndeplinirea necorespunzătoare a obliga</w:t>
      </w:r>
      <w:r w:rsidRPr="00985EBC">
        <w:rPr>
          <w:rFonts w:asciiTheme="majorHAnsi" w:hAnsiTheme="majorHAnsi"/>
          <w:bCs/>
          <w:i/>
          <w:sz w:val="18"/>
          <w:szCs w:val="18"/>
          <w:lang w:val="ro-RO"/>
        </w:rPr>
        <w:t>ţ</w:t>
      </w:r>
      <w:r w:rsidR="00A838C4" w:rsidRPr="00985EBC">
        <w:rPr>
          <w:rFonts w:asciiTheme="majorHAnsi" w:hAnsiTheme="majorHAnsi"/>
          <w:bCs/>
          <w:i/>
          <w:sz w:val="18"/>
          <w:szCs w:val="18"/>
          <w:lang w:val="ro-RO"/>
        </w:rPr>
        <w:t>iilor stabilite în lege de către prestatorul de servicii de certificare. Peti</w:t>
      </w:r>
      <w:r w:rsidRPr="00985EBC">
        <w:rPr>
          <w:rFonts w:asciiTheme="majorHAnsi" w:hAnsiTheme="majorHAnsi"/>
          <w:bCs/>
          <w:i/>
          <w:sz w:val="18"/>
          <w:szCs w:val="18"/>
          <w:lang w:val="ro-RO"/>
        </w:rPr>
        <w:t>ţ</w:t>
      </w:r>
      <w:r w:rsidR="00A838C4" w:rsidRPr="00985EBC">
        <w:rPr>
          <w:rFonts w:asciiTheme="majorHAnsi" w:hAnsiTheme="majorHAnsi"/>
          <w:bCs/>
          <w:i/>
          <w:sz w:val="18"/>
          <w:szCs w:val="18"/>
          <w:lang w:val="ro-RO"/>
        </w:rPr>
        <w:t>iile pot fi adresate în ordine generală prevăzute în Legea c</w:t>
      </w:r>
      <w:r w:rsidRPr="00985EBC">
        <w:rPr>
          <w:rFonts w:asciiTheme="majorHAnsi" w:hAnsiTheme="majorHAnsi"/>
          <w:bCs/>
          <w:i/>
          <w:sz w:val="18"/>
          <w:szCs w:val="18"/>
          <w:lang w:val="ro-RO"/>
        </w:rPr>
        <w:t xml:space="preserve">u privire la </w:t>
      </w:r>
      <w:r w:rsidRPr="00985EBC">
        <w:rPr>
          <w:rFonts w:asciiTheme="majorHAnsi" w:hAnsiTheme="majorHAnsi"/>
          <w:bCs/>
          <w:i/>
          <w:sz w:val="18"/>
          <w:szCs w:val="18"/>
          <w:lang w:val="ro-RO"/>
        </w:rPr>
        <w:lastRenderedPageBreak/>
        <w:t xml:space="preserve">petiţionare. </w:t>
      </w:r>
      <w:r w:rsidR="00A838C4" w:rsidRPr="00985EBC">
        <w:rPr>
          <w:rFonts w:asciiTheme="majorHAnsi" w:hAnsiTheme="majorHAnsi"/>
          <w:bCs/>
          <w:i/>
          <w:sz w:val="18"/>
          <w:szCs w:val="18"/>
          <w:lang w:val="ro-RO"/>
        </w:rPr>
        <w:t>Normele din proiect nu prevăd posibilitatea pentru prestatorii de servicii de certificare și pentru beneficiarii acestor servicii să se expună asupra modului în care are loc implementarea legii și nu dispun de posibilitatea să participe la procesul de consultare prin structuri semi-permanente</w:t>
      </w:r>
      <w:r w:rsidRPr="00985EBC">
        <w:rPr>
          <w:rFonts w:asciiTheme="majorHAnsi" w:hAnsiTheme="majorHAnsi"/>
          <w:bCs/>
          <w:sz w:val="18"/>
          <w:szCs w:val="18"/>
          <w:lang w:val="ro-RO"/>
        </w:rPr>
        <w:t>”</w:t>
      </w:r>
      <w:r w:rsidR="00A838C4" w:rsidRPr="00985EBC">
        <w:rPr>
          <w:rFonts w:asciiTheme="majorHAnsi" w:hAnsiTheme="majorHAnsi"/>
          <w:bCs/>
          <w:sz w:val="18"/>
          <w:szCs w:val="18"/>
          <w:lang w:val="ro-RO"/>
        </w:rPr>
        <w:t>.</w:t>
      </w:r>
    </w:p>
    <w:p w:rsidR="001A4C7A" w:rsidRPr="00985EBC" w:rsidRDefault="001A4C7A" w:rsidP="00A838C4">
      <w:pPr>
        <w:rPr>
          <w:lang w:val="ro-RO"/>
        </w:rPr>
      </w:pPr>
    </w:p>
    <w:p w:rsidR="008F0256" w:rsidRPr="00985EBC" w:rsidRDefault="00D02F0E" w:rsidP="00A838C4">
      <w:pPr>
        <w:rPr>
          <w:rFonts w:asciiTheme="majorHAnsi" w:hAnsiTheme="majorHAnsi"/>
          <w:sz w:val="24"/>
          <w:szCs w:val="24"/>
          <w:lang w:val="ro-RO"/>
        </w:rPr>
      </w:pPr>
      <w:r w:rsidRPr="00985EBC">
        <w:rPr>
          <w:rFonts w:asciiTheme="majorHAnsi" w:hAnsiTheme="majorHAnsi"/>
          <w:bCs/>
          <w:sz w:val="24"/>
          <w:szCs w:val="24"/>
          <w:u w:val="single"/>
          <w:lang w:val="ro-RO"/>
        </w:rPr>
        <w:t>Exemplu de respectare a principiului participării</w:t>
      </w:r>
      <w:r w:rsidRPr="00985EBC">
        <w:rPr>
          <w:rFonts w:asciiTheme="majorHAnsi" w:hAnsiTheme="majorHAnsi"/>
          <w:bCs/>
          <w:sz w:val="24"/>
          <w:szCs w:val="24"/>
          <w:lang w:val="ro-RO"/>
        </w:rPr>
        <w:t xml:space="preserve">: </w:t>
      </w:r>
      <w:hyperlink r:id="rId23" w:history="1">
        <w:r w:rsidRPr="00985EBC">
          <w:rPr>
            <w:rFonts w:asciiTheme="majorHAnsi" w:eastAsia="Times New Roman" w:hAnsiTheme="majorHAnsi" w:cs="Arial"/>
            <w:sz w:val="24"/>
            <w:szCs w:val="24"/>
            <w:lang w:val="ro-RO" w:eastAsia="ru-RU"/>
          </w:rPr>
          <w:t xml:space="preserve">Proiectul legii pentru aprobarea Regulamentului de organizare </w:t>
        </w:r>
        <w:r w:rsidRPr="00985EBC">
          <w:rPr>
            <w:rFonts w:asciiTheme="majorHAnsi" w:eastAsia="Times New Roman" w:hAnsiTheme="majorHAnsi" w:cs="Cambria Math"/>
            <w:sz w:val="24"/>
            <w:szCs w:val="24"/>
            <w:lang w:val="ro-RO" w:eastAsia="ru-RU"/>
          </w:rPr>
          <w:t>ș</w:t>
        </w:r>
        <w:r w:rsidRPr="00985EBC">
          <w:rPr>
            <w:rFonts w:asciiTheme="majorHAnsi" w:eastAsia="Times New Roman" w:hAnsiTheme="majorHAnsi" w:cs="Arial"/>
            <w:sz w:val="24"/>
            <w:szCs w:val="24"/>
            <w:lang w:val="ro-RO" w:eastAsia="ru-RU"/>
          </w:rPr>
          <w:t>i func</w:t>
        </w:r>
        <w:r w:rsidRPr="00985EBC">
          <w:rPr>
            <w:rFonts w:asciiTheme="majorHAnsi" w:eastAsia="Times New Roman" w:hAnsiTheme="majorHAnsi" w:cs="Cambria Math"/>
            <w:sz w:val="24"/>
            <w:szCs w:val="24"/>
            <w:lang w:val="ro-RO" w:eastAsia="ru-RU"/>
          </w:rPr>
          <w:t>ț</w:t>
        </w:r>
        <w:r w:rsidRPr="00985EBC">
          <w:rPr>
            <w:rFonts w:asciiTheme="majorHAnsi" w:eastAsia="Times New Roman" w:hAnsiTheme="majorHAnsi" w:cs="Arial"/>
            <w:sz w:val="24"/>
            <w:szCs w:val="24"/>
            <w:lang w:val="ro-RO" w:eastAsia="ru-RU"/>
          </w:rPr>
          <w:t>ionare a Oficiului Avocatului Poporului</w:t>
        </w:r>
      </w:hyperlink>
      <w:r w:rsidR="008F0256" w:rsidRPr="00985EBC">
        <w:rPr>
          <w:rFonts w:asciiTheme="majorHAnsi" w:hAnsiTheme="majorHAnsi"/>
          <w:sz w:val="24"/>
          <w:szCs w:val="24"/>
          <w:lang w:val="ro-RO"/>
        </w:rPr>
        <w:t xml:space="preserve"> (înregistrat în Parlament cu numărul 380 din 24 octombrie 2014, statutul proiectului - în proces de examinare). Raportul de expertiză a CAPC în legătură cu respectarea principiului participării a reţinut următoarele: </w:t>
      </w:r>
    </w:p>
    <w:p w:rsidR="00D02F0E" w:rsidRPr="00985EBC" w:rsidRDefault="00D02F0E" w:rsidP="00EC15F7">
      <w:pPr>
        <w:shd w:val="clear" w:color="auto" w:fill="DBE5F1" w:themeFill="accent1" w:themeFillTint="33"/>
        <w:ind w:left="1134"/>
        <w:rPr>
          <w:rFonts w:asciiTheme="majorHAnsi" w:hAnsiTheme="majorHAnsi"/>
          <w:i/>
          <w:sz w:val="18"/>
          <w:szCs w:val="18"/>
          <w:lang w:val="ro-RO"/>
        </w:rPr>
      </w:pPr>
      <w:r w:rsidRPr="00985EBC">
        <w:rPr>
          <w:rFonts w:asciiTheme="majorHAnsi" w:hAnsiTheme="majorHAnsi"/>
          <w:i/>
          <w:sz w:val="18"/>
          <w:szCs w:val="18"/>
          <w:lang w:val="ro-RO"/>
        </w:rPr>
        <w:t>„Oficiul Avocatului Poporului permite crearea grupurilor de exper</w:t>
      </w:r>
      <w:r w:rsidR="008F0256" w:rsidRPr="00985EBC">
        <w:rPr>
          <w:rFonts w:asciiTheme="majorHAnsi" w:hAnsiTheme="majorHAnsi"/>
          <w:i/>
          <w:sz w:val="18"/>
          <w:szCs w:val="18"/>
          <w:lang w:val="ro-RO"/>
        </w:rPr>
        <w:t>ţ</w:t>
      </w:r>
      <w:r w:rsidRPr="00985EBC">
        <w:rPr>
          <w:rFonts w:asciiTheme="majorHAnsi" w:hAnsiTheme="majorHAnsi"/>
          <w:i/>
          <w:sz w:val="18"/>
          <w:szCs w:val="18"/>
          <w:lang w:val="ro-RO"/>
        </w:rPr>
        <w:t>i pozi</w:t>
      </w:r>
      <w:r w:rsidR="008F0256" w:rsidRPr="00985EBC">
        <w:rPr>
          <w:rFonts w:asciiTheme="majorHAnsi" w:hAnsiTheme="majorHAnsi"/>
          <w:i/>
          <w:sz w:val="18"/>
          <w:szCs w:val="18"/>
          <w:lang w:val="ro-RO"/>
        </w:rPr>
        <w:t>ţ</w:t>
      </w:r>
      <w:r w:rsidRPr="00985EBC">
        <w:rPr>
          <w:rFonts w:asciiTheme="majorHAnsi" w:hAnsiTheme="majorHAnsi"/>
          <w:i/>
          <w:sz w:val="18"/>
          <w:szCs w:val="18"/>
          <w:lang w:val="ro-RO"/>
        </w:rPr>
        <w:t>ia cărora fiind consultată la Oficiu și Avocatul Poporului. Ultimul poate d</w:t>
      </w:r>
      <w:r w:rsidR="008F0256" w:rsidRPr="00985EBC">
        <w:rPr>
          <w:rFonts w:asciiTheme="majorHAnsi" w:hAnsiTheme="majorHAnsi"/>
          <w:i/>
          <w:sz w:val="18"/>
          <w:szCs w:val="18"/>
          <w:lang w:val="ro-RO"/>
        </w:rPr>
        <w:t>elega exercitarea unor competenţ</w:t>
      </w:r>
      <w:r w:rsidRPr="00985EBC">
        <w:rPr>
          <w:rFonts w:asciiTheme="majorHAnsi" w:hAnsiTheme="majorHAnsi"/>
          <w:i/>
          <w:sz w:val="18"/>
          <w:szCs w:val="18"/>
          <w:lang w:val="ro-RO"/>
        </w:rPr>
        <w:t>e specifice proprii către grupurile de exper</w:t>
      </w:r>
      <w:r w:rsidR="008F0256" w:rsidRPr="00985EBC">
        <w:rPr>
          <w:rFonts w:asciiTheme="majorHAnsi" w:hAnsiTheme="majorHAnsi"/>
          <w:i/>
          <w:sz w:val="18"/>
          <w:szCs w:val="18"/>
          <w:lang w:val="ro-RO"/>
        </w:rPr>
        <w:t>ţ</w:t>
      </w:r>
      <w:r w:rsidRPr="00985EBC">
        <w:rPr>
          <w:rFonts w:asciiTheme="majorHAnsi" w:hAnsiTheme="majorHAnsi"/>
          <w:i/>
          <w:sz w:val="18"/>
          <w:szCs w:val="18"/>
          <w:lang w:val="ro-RO"/>
        </w:rPr>
        <w:t>i. ONG-urile implicate în domeniul asigurării respectării drepturilor omului sunt, de asemenea, consultate în acest proces”.</w:t>
      </w:r>
    </w:p>
    <w:p w:rsidR="00D02F0E" w:rsidRPr="00985EBC" w:rsidRDefault="00D02F0E" w:rsidP="00A838C4">
      <w:pPr>
        <w:rPr>
          <w:lang w:val="ro-RO"/>
        </w:rPr>
      </w:pPr>
    </w:p>
    <w:p w:rsidR="002E4CCD" w:rsidRPr="00EC15F7" w:rsidRDefault="003C214A" w:rsidP="007139C9">
      <w:pPr>
        <w:pStyle w:val="Heading1"/>
        <w:rPr>
          <w:lang w:val="ro-RO"/>
        </w:rPr>
      </w:pPr>
      <w:bookmarkStart w:id="18" w:name="_Toc409790625"/>
      <w:r w:rsidRPr="00EC15F7">
        <w:rPr>
          <w:lang w:val="ro-RO"/>
        </w:rPr>
        <w:t xml:space="preserve">III.6.3 </w:t>
      </w:r>
      <w:r w:rsidR="005751CE" w:rsidRPr="00EC15F7">
        <w:rPr>
          <w:lang w:val="ro-RO"/>
        </w:rPr>
        <w:t>Principiul responsabilizării</w:t>
      </w:r>
      <w:bookmarkEnd w:id="18"/>
    </w:p>
    <w:p w:rsidR="004549D7" w:rsidRPr="00985EBC" w:rsidRDefault="004549D7" w:rsidP="004549D7">
      <w:pPr>
        <w:pStyle w:val="ListParagraph1"/>
        <w:spacing w:after="0" w:line="240" w:lineRule="auto"/>
        <w:ind w:left="0"/>
        <w:jc w:val="both"/>
        <w:rPr>
          <w:rFonts w:ascii="Cambria" w:hAnsi="Cambria" w:cs="Arial"/>
          <w:b/>
          <w:sz w:val="24"/>
          <w:szCs w:val="24"/>
        </w:rPr>
      </w:pPr>
    </w:p>
    <w:p w:rsidR="004549D7" w:rsidRPr="00985EBC" w:rsidRDefault="004549D7" w:rsidP="004549D7">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Principiul responsabilizării implică argumentarea necesităţii adoptării actului examinat în procesul decizional sau justificării acţiunilor, pentru care cetăţenii pot da aprecieri performanţelor, dar şi responsabilitatea celor, care vor realiza actul. Acest principiu implică următoarele elemente-cheie:</w:t>
      </w:r>
    </w:p>
    <w:p w:rsidR="004549D7" w:rsidRPr="00985EBC" w:rsidRDefault="004549D7" w:rsidP="004549D7">
      <w:pPr>
        <w:pStyle w:val="ListParagraph1"/>
        <w:numPr>
          <w:ilvl w:val="0"/>
          <w:numId w:val="20"/>
        </w:numPr>
        <w:spacing w:after="0" w:line="240" w:lineRule="auto"/>
        <w:jc w:val="both"/>
        <w:rPr>
          <w:rFonts w:ascii="Cambria" w:hAnsi="Cambria" w:cs="Arial"/>
          <w:sz w:val="24"/>
          <w:szCs w:val="24"/>
        </w:rPr>
      </w:pPr>
      <w:r w:rsidRPr="00985EBC">
        <w:rPr>
          <w:rFonts w:ascii="Cambria" w:hAnsi="Cambria" w:cs="Arial"/>
          <w:sz w:val="24"/>
          <w:szCs w:val="24"/>
        </w:rPr>
        <w:t>capacitatea oamenilor de a solicita de la autorităţile publice oferirea de argumente şi de explicaţii pentru justificarea deciziilor şi acţiunilor;</w:t>
      </w:r>
    </w:p>
    <w:p w:rsidR="004549D7" w:rsidRPr="00985EBC" w:rsidRDefault="004549D7" w:rsidP="004549D7">
      <w:pPr>
        <w:pStyle w:val="ListParagraph1"/>
        <w:numPr>
          <w:ilvl w:val="0"/>
          <w:numId w:val="20"/>
        </w:numPr>
        <w:spacing w:after="0" w:line="240" w:lineRule="auto"/>
        <w:jc w:val="both"/>
        <w:rPr>
          <w:rFonts w:ascii="Cambria" w:hAnsi="Cambria" w:cs="Arial"/>
          <w:sz w:val="24"/>
          <w:szCs w:val="24"/>
        </w:rPr>
      </w:pPr>
      <w:r w:rsidRPr="00985EBC">
        <w:rPr>
          <w:rFonts w:ascii="Cambria" w:hAnsi="Cambria" w:cs="Arial"/>
          <w:sz w:val="24"/>
          <w:szCs w:val="24"/>
        </w:rPr>
        <w:t>capacitatea oamenilor de a aplica o sancţiune autorităţilor publice pentru performanţe slabe</w:t>
      </w:r>
      <w:r w:rsidR="005751CE" w:rsidRPr="00985EBC">
        <w:rPr>
          <w:rStyle w:val="FootnoteReference"/>
          <w:rFonts w:ascii="Cambria" w:hAnsi="Cambria" w:cs="Arial"/>
          <w:sz w:val="24"/>
          <w:szCs w:val="24"/>
        </w:rPr>
        <w:footnoteReference w:id="5"/>
      </w:r>
      <w:r w:rsidRPr="00985EBC">
        <w:rPr>
          <w:rFonts w:ascii="Cambria" w:hAnsi="Cambria" w:cs="Arial"/>
          <w:sz w:val="24"/>
          <w:szCs w:val="24"/>
        </w:rPr>
        <w:t>.</w:t>
      </w:r>
    </w:p>
    <w:p w:rsidR="002E4CCD" w:rsidRPr="00985EBC" w:rsidRDefault="002E4CCD">
      <w:pPr>
        <w:rPr>
          <w:lang w:val="ro-RO"/>
        </w:rPr>
      </w:pPr>
    </w:p>
    <w:p w:rsidR="005751CE" w:rsidRPr="00985EBC" w:rsidRDefault="005751CE" w:rsidP="004F0CEC">
      <w:pPr>
        <w:rPr>
          <w:rFonts w:asciiTheme="majorHAnsi" w:hAnsiTheme="majorHAnsi"/>
          <w:sz w:val="24"/>
          <w:szCs w:val="24"/>
          <w:lang w:val="ro-RO"/>
        </w:rPr>
      </w:pPr>
      <w:r w:rsidRPr="00985EBC">
        <w:rPr>
          <w:rFonts w:asciiTheme="majorHAnsi" w:hAnsiTheme="majorHAnsi"/>
          <w:sz w:val="24"/>
          <w:szCs w:val="24"/>
          <w:lang w:val="ro-RO"/>
        </w:rPr>
        <w:t>În scopul evaluării dacă în procesul aplicării legii va fi asigurată respectarea principiului responsabilizării, experţii au verificat următoarele aspecte:</w:t>
      </w:r>
    </w:p>
    <w:p w:rsidR="005751CE" w:rsidRPr="00985EBC" w:rsidRDefault="005751CE" w:rsidP="004F0CEC">
      <w:pPr>
        <w:pStyle w:val="ListParagraph"/>
        <w:numPr>
          <w:ilvl w:val="0"/>
          <w:numId w:val="23"/>
        </w:numPr>
        <w:jc w:val="both"/>
        <w:rPr>
          <w:rFonts w:asciiTheme="majorHAnsi" w:hAnsiTheme="majorHAnsi"/>
          <w:lang w:val="ro-RO"/>
        </w:rPr>
      </w:pPr>
      <w:r w:rsidRPr="00985EBC">
        <w:rPr>
          <w:rFonts w:asciiTheme="majorHAnsi" w:hAnsiTheme="majorHAnsi"/>
          <w:lang w:val="ro-RO"/>
        </w:rPr>
        <w:t>dacă proiectul conţine prevederi exprese/tacite, care să permită monitorizarea instituţiei publice, a politicilor elaborate de acestea şi să instituie un mecanism pentru luarea în consideraţie a rezultatelor monitorizării;</w:t>
      </w:r>
    </w:p>
    <w:p w:rsidR="005751CE" w:rsidRPr="00985EBC" w:rsidRDefault="005751CE" w:rsidP="004F0CEC">
      <w:pPr>
        <w:pStyle w:val="ListParagraph"/>
        <w:numPr>
          <w:ilvl w:val="0"/>
          <w:numId w:val="23"/>
        </w:numPr>
        <w:jc w:val="both"/>
        <w:rPr>
          <w:rFonts w:asciiTheme="majorHAnsi" w:hAnsiTheme="majorHAnsi"/>
          <w:lang w:val="ro-RO"/>
        </w:rPr>
      </w:pPr>
      <w:r w:rsidRPr="00985EBC">
        <w:rPr>
          <w:rFonts w:asciiTheme="majorHAnsi" w:hAnsiTheme="majorHAnsi"/>
          <w:lang w:val="ro-RO"/>
        </w:rPr>
        <w:t>dacă proiectul conţine prevederi exprese/tacite, care să oblige autorităţile să facă publice rezultatele controalelor acestora.</w:t>
      </w:r>
    </w:p>
    <w:p w:rsidR="005751CE" w:rsidRPr="00985EBC" w:rsidRDefault="005751CE">
      <w:pPr>
        <w:rPr>
          <w:lang w:val="ro-RO"/>
        </w:rPr>
      </w:pPr>
    </w:p>
    <w:p w:rsidR="0064146D" w:rsidRPr="00985EBC" w:rsidRDefault="0064146D" w:rsidP="0064146D">
      <w:pPr>
        <w:rPr>
          <w:rFonts w:asciiTheme="majorHAnsi" w:hAnsiTheme="majorHAnsi"/>
          <w:sz w:val="24"/>
          <w:szCs w:val="24"/>
          <w:lang w:val="ro-RO"/>
        </w:rPr>
      </w:pPr>
      <w:r w:rsidRPr="00985EBC">
        <w:rPr>
          <w:rFonts w:asciiTheme="majorHAnsi" w:hAnsiTheme="majorHAnsi"/>
          <w:sz w:val="24"/>
          <w:szCs w:val="24"/>
          <w:lang w:val="ro-RO"/>
        </w:rPr>
        <w:t>Figura de mai jos ilustrează ponderea respectării principiului responsabilizării în proiectele de legi, aflate pe rolul Parlamentului. Astfel, respectarea principiului responsabilizării este asigurată suficient în doar 16,88% proiecte de legi. În  40,26% de proiecte r</w:t>
      </w:r>
      <w:r w:rsidRPr="00985EBC">
        <w:rPr>
          <w:rFonts w:asciiTheme="majorHAnsi" w:eastAsia="Times New Roman" w:hAnsiTheme="majorHAnsi" w:cs="Times New Roman"/>
          <w:sz w:val="24"/>
          <w:szCs w:val="24"/>
          <w:lang w:val="ro-RO" w:eastAsia="ru-RU"/>
        </w:rPr>
        <w:t>espectarea principiului responsabilizării este asigurată insuficient, iar în 33,77% principiul responsabilizării nu va fi asigurat.</w:t>
      </w:r>
    </w:p>
    <w:p w:rsidR="002E4CCD" w:rsidRPr="00985EBC" w:rsidRDefault="002E4CCD">
      <w:pPr>
        <w:rPr>
          <w:lang w:val="ro-RO"/>
        </w:rPr>
      </w:pPr>
    </w:p>
    <w:p w:rsidR="00CC25CD" w:rsidRPr="00985EBC" w:rsidRDefault="0064146D" w:rsidP="006108C0">
      <w:pPr>
        <w:rPr>
          <w:lang w:val="ro-RO"/>
        </w:rPr>
      </w:pPr>
      <w:r w:rsidRPr="00985EBC">
        <w:rPr>
          <w:rFonts w:asciiTheme="majorHAnsi" w:eastAsia="Times New Roman" w:hAnsiTheme="majorHAnsi" w:cs="Times New Roman"/>
          <w:b/>
          <w:i/>
          <w:sz w:val="16"/>
          <w:szCs w:val="16"/>
          <w:lang w:val="ro-RO" w:eastAsia="ru-RU"/>
        </w:rPr>
        <w:t xml:space="preserve">Figura </w:t>
      </w:r>
      <w:r w:rsidR="003C214A" w:rsidRPr="00985EBC">
        <w:rPr>
          <w:rFonts w:asciiTheme="majorHAnsi" w:eastAsia="Times New Roman" w:hAnsiTheme="majorHAnsi" w:cs="Times New Roman"/>
          <w:b/>
          <w:i/>
          <w:sz w:val="16"/>
          <w:szCs w:val="16"/>
          <w:lang w:val="ro-RO" w:eastAsia="ru-RU"/>
        </w:rPr>
        <w:t xml:space="preserve">9. </w:t>
      </w:r>
      <w:r w:rsidRPr="00985EBC">
        <w:rPr>
          <w:rFonts w:asciiTheme="majorHAnsi" w:eastAsia="Times New Roman" w:hAnsiTheme="majorHAnsi" w:cs="Times New Roman"/>
          <w:i/>
          <w:sz w:val="16"/>
          <w:szCs w:val="16"/>
          <w:lang w:val="ro-RO" w:eastAsia="ru-RU"/>
        </w:rPr>
        <w:t>Respectarea principiului responsabilizării</w:t>
      </w:r>
    </w:p>
    <w:p w:rsidR="006108C0" w:rsidRPr="00985EBC" w:rsidRDefault="00257904" w:rsidP="006108C0">
      <w:pPr>
        <w:rPr>
          <w:lang w:val="ro-RO"/>
        </w:rPr>
      </w:pPr>
      <w:r w:rsidRPr="00985EBC">
        <w:rPr>
          <w:noProof/>
          <w:lang w:eastAsia="ru-RU"/>
        </w:rPr>
        <w:lastRenderedPageBreak/>
        <w:drawing>
          <wp:inline distT="0" distB="0" distL="0" distR="0">
            <wp:extent cx="5953125" cy="2085975"/>
            <wp:effectExtent l="76200" t="38100" r="9525" b="9525"/>
            <wp:docPr id="2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108C0" w:rsidRPr="00985EBC" w:rsidRDefault="006108C0">
      <w:pPr>
        <w:rPr>
          <w:lang w:val="ro-RO"/>
        </w:rPr>
      </w:pPr>
    </w:p>
    <w:p w:rsidR="003B4BA3" w:rsidRPr="00985EBC" w:rsidRDefault="00F16745">
      <w:pPr>
        <w:rPr>
          <w:rFonts w:asciiTheme="majorHAnsi" w:hAnsiTheme="majorHAnsi"/>
          <w:sz w:val="24"/>
          <w:szCs w:val="24"/>
          <w:lang w:val="ro-RO"/>
        </w:rPr>
      </w:pPr>
      <w:r w:rsidRPr="00985EBC">
        <w:rPr>
          <w:rFonts w:asciiTheme="majorHAnsi" w:hAnsiTheme="majorHAnsi"/>
          <w:sz w:val="24"/>
          <w:szCs w:val="24"/>
          <w:lang w:val="ro-RO"/>
        </w:rPr>
        <w:t>Cît priveşte ponderea respectării principiului responsabilizării pe domeniile de reglementare a legislaţiei</w:t>
      </w:r>
      <w:r w:rsidR="00EC4C51" w:rsidRPr="00985EBC">
        <w:rPr>
          <w:rFonts w:asciiTheme="majorHAnsi" w:hAnsiTheme="majorHAnsi"/>
          <w:sz w:val="24"/>
          <w:szCs w:val="24"/>
          <w:lang w:val="ro-RO"/>
        </w:rPr>
        <w:t>,</w:t>
      </w:r>
      <w:r w:rsidRPr="00985EBC">
        <w:rPr>
          <w:rFonts w:asciiTheme="majorHAnsi" w:hAnsiTheme="majorHAnsi"/>
          <w:sz w:val="24"/>
          <w:szCs w:val="24"/>
          <w:lang w:val="ro-RO"/>
        </w:rPr>
        <w:t xml:space="preserve"> s-a conturat următorul tablou: cea mai mare pondere a respectării principiului responsabilizării s-a înregistrat în Domeniul IV “Educaţie, cultură, culte şi mass-media”, iar cea mai mare pondere a nerespectării principiului responsabilizării se constată în Domeniul V „Legislaţia muncii, asigurarea socială şi ocrotirea sănătăţii”.</w:t>
      </w:r>
    </w:p>
    <w:p w:rsidR="003B4BA3" w:rsidRPr="00985EBC" w:rsidRDefault="003B4BA3">
      <w:pPr>
        <w:rPr>
          <w:rFonts w:asciiTheme="majorHAnsi" w:hAnsiTheme="majorHAnsi"/>
          <w:b/>
          <w:sz w:val="24"/>
          <w:szCs w:val="24"/>
          <w:lang w:val="ro-RO"/>
        </w:rPr>
      </w:pPr>
    </w:p>
    <w:p w:rsidR="00751E9D" w:rsidRPr="00985EBC" w:rsidRDefault="004051A5" w:rsidP="007D2A4F">
      <w:pPr>
        <w:rPr>
          <w:rFonts w:asciiTheme="majorHAnsi" w:hAnsiTheme="majorHAnsi"/>
          <w:b/>
          <w:bCs/>
          <w:sz w:val="24"/>
          <w:szCs w:val="24"/>
          <w:lang w:val="ro-RO"/>
        </w:rPr>
      </w:pPr>
      <w:r w:rsidRPr="00985EBC">
        <w:rPr>
          <w:rFonts w:asciiTheme="majorHAnsi" w:hAnsiTheme="majorHAnsi"/>
          <w:bCs/>
          <w:sz w:val="24"/>
          <w:szCs w:val="24"/>
          <w:u w:val="single"/>
          <w:lang w:val="ro-RO"/>
        </w:rPr>
        <w:t>Exemplu de nerespectare a principiului responsabilizării</w:t>
      </w:r>
      <w:r w:rsidRPr="00985EBC">
        <w:rPr>
          <w:rFonts w:asciiTheme="majorHAnsi" w:hAnsiTheme="majorHAnsi"/>
          <w:bCs/>
          <w:sz w:val="24"/>
          <w:szCs w:val="24"/>
          <w:lang w:val="ro-RO"/>
        </w:rPr>
        <w:t xml:space="preserve">: </w:t>
      </w:r>
      <w:r w:rsidRPr="00985EBC">
        <w:rPr>
          <w:rFonts w:asciiTheme="majorHAnsi" w:hAnsiTheme="majorHAnsi"/>
          <w:sz w:val="24"/>
          <w:szCs w:val="24"/>
          <w:lang w:val="ro-RO"/>
        </w:rPr>
        <w:t>Proiectul Legii pentru modificarea și completarea Legii nr.102-XV din 13.03.2003 privind ocuparea forței de muncă și protecția socială a persoanelor aflate în căutarea unui loc de muncă  (înregistrat în Parlament cu numărul 459 din 15 noiembrie 2013, statut</w:t>
      </w:r>
      <w:r w:rsidR="008B23AF" w:rsidRPr="00985EBC">
        <w:rPr>
          <w:rFonts w:asciiTheme="majorHAnsi" w:hAnsiTheme="majorHAnsi"/>
          <w:sz w:val="24"/>
          <w:szCs w:val="24"/>
          <w:lang w:val="ro-RO"/>
        </w:rPr>
        <w:t>ul proiectului</w:t>
      </w:r>
      <w:r w:rsidRPr="00985EBC">
        <w:rPr>
          <w:rFonts w:asciiTheme="majorHAnsi" w:hAnsiTheme="majorHAnsi"/>
          <w:sz w:val="24"/>
          <w:szCs w:val="24"/>
          <w:lang w:val="ro-RO"/>
        </w:rPr>
        <w:t xml:space="preserve"> – adoptat la 03.07.2014, dar nepublicat în MO</w:t>
      </w:r>
      <w:r w:rsidRPr="00985EBC">
        <w:rPr>
          <w:rFonts w:asciiTheme="majorHAnsi" w:hAnsiTheme="majorHAnsi"/>
          <w:bCs/>
          <w:sz w:val="24"/>
          <w:szCs w:val="24"/>
          <w:lang w:val="ro-RO"/>
        </w:rPr>
        <w:t xml:space="preserve">). Raportul de expertiză a CAPC în legătură cu </w:t>
      </w:r>
      <w:r w:rsidR="00751E9D" w:rsidRPr="00985EBC">
        <w:rPr>
          <w:rFonts w:asciiTheme="majorHAnsi" w:hAnsiTheme="majorHAnsi"/>
          <w:bCs/>
          <w:sz w:val="24"/>
          <w:szCs w:val="24"/>
          <w:lang w:val="ro-RO"/>
        </w:rPr>
        <w:t xml:space="preserve">nerespectarea </w:t>
      </w:r>
      <w:r w:rsidRPr="00985EBC">
        <w:rPr>
          <w:rFonts w:asciiTheme="majorHAnsi" w:hAnsiTheme="majorHAnsi"/>
          <w:bCs/>
          <w:sz w:val="24"/>
          <w:szCs w:val="24"/>
          <w:lang w:val="ro-RO"/>
        </w:rPr>
        <w:t>principiul</w:t>
      </w:r>
      <w:r w:rsidR="00751E9D" w:rsidRPr="00985EBC">
        <w:rPr>
          <w:rFonts w:asciiTheme="majorHAnsi" w:hAnsiTheme="majorHAnsi"/>
          <w:bCs/>
          <w:sz w:val="24"/>
          <w:szCs w:val="24"/>
          <w:lang w:val="ro-RO"/>
        </w:rPr>
        <w:t>ui</w:t>
      </w:r>
      <w:r w:rsidRPr="00985EBC">
        <w:rPr>
          <w:rFonts w:asciiTheme="majorHAnsi" w:hAnsiTheme="majorHAnsi"/>
          <w:bCs/>
          <w:sz w:val="24"/>
          <w:szCs w:val="24"/>
          <w:lang w:val="ro-RO"/>
        </w:rPr>
        <w:t xml:space="preserve"> responsabilizării a reţinut următoarele:</w:t>
      </w:r>
      <w:r w:rsidRPr="00985EBC">
        <w:rPr>
          <w:rFonts w:asciiTheme="majorHAnsi" w:hAnsiTheme="majorHAnsi"/>
          <w:b/>
          <w:bCs/>
          <w:sz w:val="24"/>
          <w:szCs w:val="24"/>
          <w:lang w:val="ro-RO"/>
        </w:rPr>
        <w:t xml:space="preserve"> </w:t>
      </w:r>
    </w:p>
    <w:p w:rsidR="003B4BA3" w:rsidRPr="00985EBC" w:rsidRDefault="00CD3AB5" w:rsidP="00EC15F7">
      <w:pPr>
        <w:shd w:val="clear" w:color="auto" w:fill="DBE5F1" w:themeFill="accent1" w:themeFillTint="33"/>
        <w:ind w:left="1134"/>
        <w:rPr>
          <w:rFonts w:asciiTheme="majorHAnsi" w:hAnsiTheme="majorHAnsi"/>
          <w:i/>
          <w:sz w:val="18"/>
          <w:szCs w:val="18"/>
          <w:lang w:val="ro-RO"/>
        </w:rPr>
      </w:pPr>
      <w:r w:rsidRPr="00985EBC">
        <w:rPr>
          <w:rFonts w:asciiTheme="majorHAnsi" w:hAnsiTheme="majorHAnsi"/>
          <w:b/>
          <w:bCs/>
          <w:sz w:val="18"/>
          <w:szCs w:val="18"/>
          <w:lang w:val="ro-RO"/>
        </w:rPr>
        <w:t>„</w:t>
      </w:r>
      <w:r w:rsidR="007D2A4F" w:rsidRPr="00985EBC">
        <w:rPr>
          <w:rFonts w:asciiTheme="majorHAnsi" w:hAnsiTheme="majorHAnsi"/>
          <w:i/>
          <w:sz w:val="18"/>
          <w:szCs w:val="18"/>
          <w:lang w:val="ro-RO"/>
        </w:rPr>
        <w:t>Respectarea principiului responsabilizării în procesul adoptării actelor legislative presupune că, în proiectul de act legislativ, trebuie să fie prezente prevederi care să permită monitorizarea instituţiilor publice, a politicilor elaborate de acestea şi, la fel, să conţină prevederi care ar permite persoanelor interesate să solicite de la autorităţile publice oferirea de argumente şi de explicaţii pentru justificarea deciziilor şi acţiunilor. Totodată, respectarea acestui principiu ar permite aplicarea sancţiunilor autorităţilor publice pentru performanţe slabe. Atît proiectul supus expertizei, cît şi Legea de bază, 102/2003, în care se operează modificările respective, nu respectă integral acest principiu.</w:t>
      </w:r>
      <w:r w:rsidR="004051A5" w:rsidRPr="00985EBC">
        <w:rPr>
          <w:rFonts w:asciiTheme="majorHAnsi" w:hAnsiTheme="majorHAnsi"/>
          <w:i/>
          <w:sz w:val="18"/>
          <w:szCs w:val="18"/>
          <w:lang w:val="ro-RO"/>
        </w:rPr>
        <w:t xml:space="preserve"> </w:t>
      </w:r>
      <w:r w:rsidR="007D2A4F" w:rsidRPr="00985EBC">
        <w:rPr>
          <w:rFonts w:asciiTheme="majorHAnsi" w:hAnsiTheme="majorHAnsi"/>
          <w:i/>
          <w:sz w:val="18"/>
          <w:szCs w:val="18"/>
          <w:lang w:val="ro-RO"/>
        </w:rPr>
        <w:t>Astfel, proiectul legii se referă doar la nişte măsuri "virtuale" de stimulare a autorităţilor publice care prin proiectul legii ar fi obligate să aloce cel  puţin 10% din efectivul de personal pentru desfăşurarea stagiilor de practică. În acest context, enunţăm că Legea nu prevede un mecanism de responsabilizare a autorităţilor care nu au respectat obligaţia prevăzută la noul art. 21/1 din proiect.</w:t>
      </w:r>
      <w:r w:rsidR="004051A5" w:rsidRPr="00985EBC">
        <w:rPr>
          <w:rFonts w:asciiTheme="majorHAnsi" w:hAnsiTheme="majorHAnsi"/>
          <w:i/>
          <w:sz w:val="18"/>
          <w:szCs w:val="18"/>
          <w:lang w:val="ro-RO"/>
        </w:rPr>
        <w:t xml:space="preserve"> </w:t>
      </w:r>
      <w:r w:rsidR="007D2A4F" w:rsidRPr="00985EBC">
        <w:rPr>
          <w:rFonts w:asciiTheme="majorHAnsi" w:hAnsiTheme="majorHAnsi"/>
          <w:i/>
          <w:sz w:val="18"/>
          <w:szCs w:val="18"/>
          <w:lang w:val="ro-RO"/>
        </w:rPr>
        <w:t>În condiţiile celor enunţate, considerăm că proiectul legii are un caracter declarativ, nu prevede mecanisme concrete de realizare a prevederilor propuse şi de responsabilizare a subiecţilor legii pentru neîndeplinirea prevederilor</w:t>
      </w:r>
      <w:r w:rsidRPr="00985EBC">
        <w:rPr>
          <w:rFonts w:asciiTheme="majorHAnsi" w:hAnsiTheme="majorHAnsi"/>
          <w:i/>
          <w:sz w:val="18"/>
          <w:szCs w:val="18"/>
          <w:lang w:val="ro-RO"/>
        </w:rPr>
        <w:t>”</w:t>
      </w:r>
      <w:r w:rsidR="007D2A4F" w:rsidRPr="00985EBC">
        <w:rPr>
          <w:rFonts w:asciiTheme="majorHAnsi" w:hAnsiTheme="majorHAnsi"/>
          <w:i/>
          <w:sz w:val="18"/>
          <w:szCs w:val="18"/>
          <w:lang w:val="ro-RO"/>
        </w:rPr>
        <w:t>.</w:t>
      </w:r>
    </w:p>
    <w:p w:rsidR="007D2A4F" w:rsidRPr="00985EBC" w:rsidRDefault="007D2A4F" w:rsidP="007D2A4F">
      <w:pPr>
        <w:rPr>
          <w:rFonts w:asciiTheme="majorHAnsi" w:hAnsiTheme="majorHAnsi"/>
          <w:b/>
          <w:sz w:val="24"/>
          <w:szCs w:val="24"/>
          <w:lang w:val="ro-RO"/>
        </w:rPr>
      </w:pPr>
    </w:p>
    <w:p w:rsidR="00751E9D" w:rsidRPr="00985EBC" w:rsidRDefault="001C4AFC" w:rsidP="001C4AFC">
      <w:pPr>
        <w:rPr>
          <w:rFonts w:asciiTheme="majorHAnsi" w:hAnsiTheme="majorHAnsi"/>
          <w:sz w:val="24"/>
          <w:szCs w:val="24"/>
          <w:lang w:val="ro-RO"/>
        </w:rPr>
      </w:pPr>
      <w:r w:rsidRPr="00985EBC">
        <w:rPr>
          <w:rFonts w:asciiTheme="majorHAnsi" w:hAnsiTheme="majorHAnsi"/>
          <w:bCs/>
          <w:sz w:val="24"/>
          <w:szCs w:val="24"/>
          <w:u w:val="single"/>
          <w:lang w:val="ro-RO"/>
        </w:rPr>
        <w:t>Exemplu de respectare a principiului responsabilizării</w:t>
      </w:r>
      <w:r w:rsidRPr="00985EBC">
        <w:rPr>
          <w:rFonts w:asciiTheme="majorHAnsi" w:hAnsiTheme="majorHAnsi"/>
          <w:bCs/>
          <w:sz w:val="24"/>
          <w:szCs w:val="24"/>
          <w:lang w:val="ro-RO"/>
        </w:rPr>
        <w:t xml:space="preserve">: </w:t>
      </w:r>
      <w:hyperlink r:id="rId25" w:history="1">
        <w:r w:rsidRPr="00985EBC">
          <w:rPr>
            <w:rFonts w:asciiTheme="majorHAnsi" w:eastAsia="Times New Roman" w:hAnsiTheme="majorHAnsi" w:cs="Arial"/>
            <w:sz w:val="24"/>
            <w:szCs w:val="24"/>
            <w:lang w:val="ro-RO" w:eastAsia="ru-RU"/>
          </w:rPr>
          <w:t>Proiectul Codului audiovizualului al Republicii Moldova</w:t>
        </w:r>
      </w:hyperlink>
      <w:r w:rsidRPr="00985EBC">
        <w:rPr>
          <w:rFonts w:asciiTheme="majorHAnsi" w:hAnsiTheme="majorHAnsi"/>
          <w:sz w:val="24"/>
          <w:szCs w:val="24"/>
          <w:lang w:val="ro-RO"/>
        </w:rPr>
        <w:t xml:space="preserve"> (înregistrat în Parlament cu numărul 15 din 21 ianuarie 2014, statut</w:t>
      </w:r>
      <w:r w:rsidR="008B23AF" w:rsidRPr="00985EBC">
        <w:rPr>
          <w:rFonts w:asciiTheme="majorHAnsi" w:hAnsiTheme="majorHAnsi"/>
          <w:sz w:val="24"/>
          <w:szCs w:val="24"/>
          <w:lang w:val="ro-RO"/>
        </w:rPr>
        <w:t>ul proiectului</w:t>
      </w:r>
      <w:r w:rsidRPr="00985EBC">
        <w:rPr>
          <w:rFonts w:asciiTheme="majorHAnsi" w:hAnsiTheme="majorHAnsi"/>
          <w:sz w:val="24"/>
          <w:szCs w:val="24"/>
          <w:lang w:val="ro-RO"/>
        </w:rPr>
        <w:t xml:space="preserve"> </w:t>
      </w:r>
      <w:r w:rsidRPr="00985EBC">
        <w:rPr>
          <w:rFonts w:asciiTheme="majorHAnsi" w:hAnsiTheme="majorHAnsi"/>
          <w:bCs/>
          <w:sz w:val="24"/>
          <w:szCs w:val="24"/>
          <w:lang w:val="ro-RO"/>
        </w:rPr>
        <w:t xml:space="preserve">– în proces de examinare). Raportul de expertiză a CAPC în legătură cu </w:t>
      </w:r>
      <w:r w:rsidR="00751E9D" w:rsidRPr="00985EBC">
        <w:rPr>
          <w:rFonts w:asciiTheme="majorHAnsi" w:hAnsiTheme="majorHAnsi"/>
          <w:bCs/>
          <w:sz w:val="24"/>
          <w:szCs w:val="24"/>
          <w:lang w:val="ro-RO"/>
        </w:rPr>
        <w:t xml:space="preserve">respectarea </w:t>
      </w:r>
      <w:r w:rsidRPr="00985EBC">
        <w:rPr>
          <w:rFonts w:asciiTheme="majorHAnsi" w:hAnsiTheme="majorHAnsi"/>
          <w:bCs/>
          <w:sz w:val="24"/>
          <w:szCs w:val="24"/>
          <w:lang w:val="ro-RO"/>
        </w:rPr>
        <w:t>principiul</w:t>
      </w:r>
      <w:r w:rsidR="00751E9D" w:rsidRPr="00985EBC">
        <w:rPr>
          <w:rFonts w:asciiTheme="majorHAnsi" w:hAnsiTheme="majorHAnsi"/>
          <w:bCs/>
          <w:sz w:val="24"/>
          <w:szCs w:val="24"/>
          <w:lang w:val="ro-RO"/>
        </w:rPr>
        <w:t>ui</w:t>
      </w:r>
      <w:r w:rsidRPr="00985EBC">
        <w:rPr>
          <w:rFonts w:asciiTheme="majorHAnsi" w:hAnsiTheme="majorHAnsi"/>
          <w:bCs/>
          <w:sz w:val="24"/>
          <w:szCs w:val="24"/>
          <w:lang w:val="ro-RO"/>
        </w:rPr>
        <w:t xml:space="preserve"> responsabilizării a reţinut următoarele:</w:t>
      </w:r>
      <w:r w:rsidRPr="00985EBC">
        <w:rPr>
          <w:rFonts w:asciiTheme="majorHAnsi" w:hAnsiTheme="majorHAnsi"/>
          <w:sz w:val="24"/>
          <w:szCs w:val="24"/>
          <w:lang w:val="ro-RO"/>
        </w:rPr>
        <w:t xml:space="preserve"> </w:t>
      </w:r>
    </w:p>
    <w:p w:rsidR="001C4AFC" w:rsidRPr="00985EBC" w:rsidRDefault="001C4AFC" w:rsidP="00EC15F7">
      <w:pPr>
        <w:shd w:val="clear" w:color="auto" w:fill="DBE5F1" w:themeFill="accent1" w:themeFillTint="33"/>
        <w:ind w:left="1134"/>
        <w:rPr>
          <w:rFonts w:asciiTheme="majorHAnsi" w:hAnsiTheme="majorHAnsi"/>
          <w:sz w:val="24"/>
          <w:szCs w:val="24"/>
          <w:lang w:val="ro-RO"/>
        </w:rPr>
      </w:pPr>
      <w:r w:rsidRPr="00985EBC">
        <w:rPr>
          <w:rFonts w:asciiTheme="majorHAnsi" w:hAnsiTheme="majorHAnsi"/>
          <w:sz w:val="18"/>
          <w:szCs w:val="18"/>
          <w:lang w:val="ro-RO"/>
        </w:rPr>
        <w:t>„</w:t>
      </w:r>
      <w:r w:rsidRPr="00985EBC">
        <w:rPr>
          <w:rFonts w:asciiTheme="majorHAnsi" w:hAnsiTheme="majorHAnsi"/>
          <w:i/>
          <w:sz w:val="18"/>
          <w:szCs w:val="18"/>
          <w:lang w:val="ro-RO"/>
        </w:rPr>
        <w:t xml:space="preserve">Proiectul Codului audiovizualului conţine prevederi orientate spre responsabilizarea atît a membrilor CCA, instituţie care gestionează domeniul, cît şi a participanţilor pe piaţa mediatică.  Astfel, art. 82 al proiectului prevede că Parlamentul exercită controlul asupra activităţii Consiliului Audiovizualului prin dezbaterea raportului anual al acestuia, care se prezintă pentru anul anterior. Comisia parlamentară de specialitate poate solicita preşedintelui Consiliului Audiovizualului rapoarte specifice ori de câte ori consideră necesar. Rapoartele anuale ale Consiliului Audiovizualului cuprind două capitole: cu privire la exercitarea competenţelor şi cu privire la cheltuirea mijloacelor financiare. Raportul anual al Consiliului Audiovizualului se depune la Comisia parlamentară de specialitate până la data de 1 februarie. Comisia parlamentară de specialitate organizează audieri publice pe marginea raportului anual al Consiliului Audiovizualului la care sunt invitaţi să participe membrii Consiliului Audiovizualului, reprezentanţi ai partidelor politice, reprezentanţi ai organizaţiilor neguvernamentale din domeniul mass-media,reprezentanţi ai organizaţiilor internaţionale, precum şi alte părţi interesate, care pot prezenta rapoarte alternative de monitorizare a activităţii Consiliului Audiovizualului sau concluzii pe marginea raportului anual al Consiliului Audiovizualului. În acest scop Comisia parlamentară de specialitate va publica raportul Consiliului </w:t>
      </w:r>
      <w:r w:rsidRPr="00985EBC">
        <w:rPr>
          <w:rFonts w:asciiTheme="majorHAnsi" w:hAnsiTheme="majorHAnsi"/>
          <w:i/>
          <w:sz w:val="18"/>
          <w:szCs w:val="18"/>
          <w:lang w:val="ro-RO"/>
        </w:rPr>
        <w:lastRenderedPageBreak/>
        <w:t>Audiovizualului pe pagina web a Parlamentului, iar Consiliul Audiovizualului pe pagina sa web cu cel puţin 10 zile înainte de data audierilor publice. În urma audierilor publice, precum şi în baza propriilor constatări, Comisia parlamentară de specialitate avizează pozitiv sau negativ raportul anual al Consiliului Audiovizualului motivând această decizie. Raportul Comisiei se referă la legalitatea, oportunitatea şi eficacitatea activităţii Consiliului Audiovizualului, precum şi la corectitudinea şi transparenţa operaţiunilor financiare. Cu ocazia dezbaterii raportului Consiliului Audiovizualului, a avizului Comisiei parlamentare de specialitate, Parlamentul poate adopta hotărârea de aprobare sau respingere a acestuia. În acelaşi timp, art. 84 al proiectului prevede că supravegherea respectării, controlul îndeplinirii obligaţiilor şi sancţionarea încălcării prevederilor codului, precum şi a deciziilor emise în baza şi pentru aplicarea acestuia revin Consiliului Audiovizualului. În exercitarea atribuţiilor de supraveghere şi control Consiliul Audiovizualului poate solicita furnizorilor de servicii media şi distribuitorilor de servicii informaţiile şi actele necesare.. .. Solicitantul va indica temeiul legal, scopul solicitării şi termenul prezentării informaţiei. În cazul controlului la sediu, furnizorii de servicii media şi distribuitorii de servicii vor oferi acces în localurile de activitate, vor pune la dispoziţie înregistrările programelor difuzate, dacă acestea sunt disponibile</w:t>
      </w:r>
      <w:r w:rsidR="00C22752" w:rsidRPr="00985EBC">
        <w:rPr>
          <w:rFonts w:asciiTheme="majorHAnsi" w:hAnsiTheme="majorHAnsi"/>
          <w:i/>
          <w:sz w:val="18"/>
          <w:szCs w:val="18"/>
          <w:lang w:val="ro-RO"/>
        </w:rPr>
        <w:t xml:space="preserve"> </w:t>
      </w:r>
      <w:r w:rsidRPr="00985EBC">
        <w:rPr>
          <w:rFonts w:asciiTheme="majorHAnsi" w:hAnsiTheme="majorHAnsi"/>
          <w:i/>
          <w:sz w:val="18"/>
          <w:szCs w:val="18"/>
          <w:lang w:val="ro-RO"/>
        </w:rPr>
        <w:t>conform prevederilor prezentului cod, vor colabora în vederea înlesnirii exercitării controlului în timp util şi eficient. Art. 85 al proiectului reglementează în mod distinct răspunderea pentru încălcarea legislaţiei audiovizuale, care înseamnă aplicarea de către Consiliul Audiovizualului, în condiţiile legii, a unor sancţiuni faţă de furnizorii de servicii media sau distribuitorii de servicii care au săvârşit încălcări ale legislaţiei audiovizuale. În temeiul prevederilor proiectului citate mai sus, poate fi constatat un nivel suficient de asigurare a principiului responsabilizării</w:t>
      </w:r>
      <w:r w:rsidRPr="00985EBC">
        <w:rPr>
          <w:rFonts w:asciiTheme="majorHAnsi" w:hAnsiTheme="majorHAnsi"/>
          <w:sz w:val="18"/>
          <w:szCs w:val="18"/>
          <w:lang w:val="ro-RO"/>
        </w:rPr>
        <w:t>”</w:t>
      </w:r>
      <w:r w:rsidRPr="00985EBC">
        <w:rPr>
          <w:rFonts w:asciiTheme="majorHAnsi" w:hAnsiTheme="majorHAnsi"/>
          <w:sz w:val="24"/>
          <w:szCs w:val="24"/>
          <w:lang w:val="ro-RO"/>
        </w:rPr>
        <w:t>.</w:t>
      </w:r>
    </w:p>
    <w:p w:rsidR="001C4AFC" w:rsidRPr="00985EBC" w:rsidRDefault="001C4AFC" w:rsidP="007D2A4F">
      <w:pPr>
        <w:rPr>
          <w:rFonts w:asciiTheme="majorHAnsi" w:hAnsiTheme="majorHAnsi"/>
          <w:b/>
          <w:sz w:val="24"/>
          <w:szCs w:val="24"/>
          <w:lang w:val="ro-RO"/>
        </w:rPr>
      </w:pPr>
    </w:p>
    <w:p w:rsidR="00BF26EB" w:rsidRPr="00EC15F7" w:rsidRDefault="00BF26EB" w:rsidP="007139C9">
      <w:pPr>
        <w:pStyle w:val="Heading1"/>
        <w:rPr>
          <w:lang w:val="ro-RO"/>
        </w:rPr>
      </w:pPr>
      <w:bookmarkStart w:id="19" w:name="_Toc409790626"/>
      <w:r w:rsidRPr="00EC15F7">
        <w:rPr>
          <w:lang w:val="ro-RO"/>
        </w:rPr>
        <w:t>III.7</w:t>
      </w:r>
      <w:r w:rsidR="00B97B4D" w:rsidRPr="00EC15F7">
        <w:rPr>
          <w:lang w:val="ro-RO"/>
        </w:rPr>
        <w:t xml:space="preserve"> Proiectele de legi vs. drepturile omului reglementate de Constituţia RM</w:t>
      </w:r>
      <w:bookmarkEnd w:id="19"/>
    </w:p>
    <w:p w:rsidR="00BF26EB" w:rsidRPr="00985EBC" w:rsidRDefault="00BF26EB">
      <w:pPr>
        <w:rPr>
          <w:lang w:val="ro-RO"/>
        </w:rPr>
      </w:pPr>
    </w:p>
    <w:p w:rsidR="00B97B4D" w:rsidRPr="00985EBC" w:rsidRDefault="001F7B56" w:rsidP="001F7B56">
      <w:pPr>
        <w:rPr>
          <w:rFonts w:ascii="Cambria" w:hAnsi="Cambria" w:cs="Arial"/>
          <w:sz w:val="24"/>
          <w:szCs w:val="24"/>
          <w:lang w:val="ro-RO"/>
        </w:rPr>
      </w:pPr>
      <w:r w:rsidRPr="00985EBC">
        <w:rPr>
          <w:rFonts w:ascii="Cambria" w:hAnsi="Cambria" w:cs="Arial"/>
          <w:sz w:val="24"/>
          <w:szCs w:val="24"/>
          <w:lang w:val="ro-RO"/>
        </w:rPr>
        <w:t xml:space="preserve">Pentru a putea monitoriza, la nivel normativ, impactul proiectelor de legi asupra drepturilor omului (inclusiv ponderea reglementării anumitor drepturi în proiectele de legi), </w:t>
      </w:r>
      <w:r w:rsidR="00B97B4D" w:rsidRPr="00985EBC">
        <w:rPr>
          <w:rFonts w:ascii="Cambria" w:hAnsi="Cambria" w:cs="Arial"/>
          <w:sz w:val="24"/>
          <w:szCs w:val="24"/>
          <w:lang w:val="ro-RO"/>
        </w:rPr>
        <w:t xml:space="preserve">multiplele drepturi şi libertăţi fundamentale ale omului consacrate în Constituţia Republicii Moldova şi în tratatele internaţionale la care Republica Moldova este parte, </w:t>
      </w:r>
      <w:r w:rsidRPr="00985EBC">
        <w:rPr>
          <w:rFonts w:ascii="Cambria" w:hAnsi="Cambria" w:cs="Arial"/>
          <w:sz w:val="24"/>
          <w:szCs w:val="24"/>
          <w:lang w:val="ro-RO"/>
        </w:rPr>
        <w:t xml:space="preserve">au fost sistematizate </w:t>
      </w:r>
      <w:r w:rsidR="00B97B4D" w:rsidRPr="00985EBC">
        <w:rPr>
          <w:rFonts w:ascii="Cambria" w:hAnsi="Cambria" w:cs="Arial"/>
          <w:sz w:val="24"/>
          <w:szCs w:val="24"/>
          <w:lang w:val="ro-RO"/>
        </w:rPr>
        <w:t>după cum urmează:</w:t>
      </w:r>
      <w:r w:rsidRPr="00985EBC">
        <w:rPr>
          <w:rFonts w:ascii="Cambria" w:hAnsi="Cambria" w:cs="Arial"/>
          <w:sz w:val="24"/>
          <w:szCs w:val="24"/>
          <w:lang w:val="ro-RO"/>
        </w:rPr>
        <w:t xml:space="preserve"> d</w:t>
      </w:r>
      <w:r w:rsidR="00B97B4D" w:rsidRPr="00985EBC">
        <w:rPr>
          <w:rFonts w:ascii="Cambria" w:hAnsi="Cambria" w:cs="Arial"/>
          <w:sz w:val="24"/>
          <w:szCs w:val="24"/>
          <w:lang w:val="ro-RO"/>
        </w:rPr>
        <w:t>repturile şi libertăţi individuale;</w:t>
      </w:r>
      <w:r w:rsidRPr="00985EBC">
        <w:rPr>
          <w:rFonts w:ascii="Cambria" w:hAnsi="Cambria" w:cs="Arial"/>
          <w:sz w:val="24"/>
          <w:szCs w:val="24"/>
          <w:lang w:val="ro-RO"/>
        </w:rPr>
        <w:t xml:space="preserve"> d</w:t>
      </w:r>
      <w:r w:rsidR="00B97B4D" w:rsidRPr="00985EBC">
        <w:rPr>
          <w:rFonts w:ascii="Cambria" w:hAnsi="Cambria" w:cs="Arial"/>
          <w:sz w:val="24"/>
          <w:szCs w:val="24"/>
          <w:lang w:val="ro-RO"/>
        </w:rPr>
        <w:t>repturile şi libertăţile social-economice;</w:t>
      </w:r>
      <w:r w:rsidRPr="00985EBC">
        <w:rPr>
          <w:rFonts w:ascii="Cambria" w:hAnsi="Cambria" w:cs="Arial"/>
          <w:sz w:val="24"/>
          <w:szCs w:val="24"/>
          <w:lang w:val="ro-RO"/>
        </w:rPr>
        <w:t xml:space="preserve"> d</w:t>
      </w:r>
      <w:r w:rsidR="00B97B4D" w:rsidRPr="00985EBC">
        <w:rPr>
          <w:rFonts w:ascii="Cambria" w:hAnsi="Cambria" w:cs="Arial"/>
          <w:sz w:val="24"/>
          <w:szCs w:val="24"/>
          <w:lang w:val="ro-RO"/>
        </w:rPr>
        <w:t>repturile şi libertăţile civile şi politice;</w:t>
      </w:r>
      <w:r w:rsidRPr="00985EBC">
        <w:rPr>
          <w:rFonts w:ascii="Cambria" w:hAnsi="Cambria" w:cs="Arial"/>
          <w:sz w:val="24"/>
          <w:szCs w:val="24"/>
          <w:lang w:val="ro-RO"/>
        </w:rPr>
        <w:t xml:space="preserve"> d</w:t>
      </w:r>
      <w:r w:rsidR="00B97B4D" w:rsidRPr="00985EBC">
        <w:rPr>
          <w:rFonts w:ascii="Cambria" w:hAnsi="Cambria" w:cs="Arial"/>
          <w:sz w:val="24"/>
          <w:szCs w:val="24"/>
          <w:lang w:val="ro-RO"/>
        </w:rPr>
        <w:t>repturile şi libertăţile culturale;</w:t>
      </w:r>
      <w:r w:rsidRPr="00985EBC">
        <w:rPr>
          <w:rFonts w:ascii="Cambria" w:hAnsi="Cambria" w:cs="Arial"/>
          <w:sz w:val="24"/>
          <w:szCs w:val="24"/>
          <w:lang w:val="ro-RO"/>
        </w:rPr>
        <w:t xml:space="preserve"> d</w:t>
      </w:r>
      <w:r w:rsidR="00B97B4D" w:rsidRPr="00985EBC">
        <w:rPr>
          <w:rFonts w:ascii="Cambria" w:hAnsi="Cambria" w:cs="Arial"/>
          <w:sz w:val="24"/>
          <w:szCs w:val="24"/>
          <w:lang w:val="ro-RO"/>
        </w:rPr>
        <w:t>repturi garanţii.</w:t>
      </w:r>
    </w:p>
    <w:p w:rsidR="00B97B4D" w:rsidRPr="00985EBC" w:rsidRDefault="00B97B4D" w:rsidP="00B97B4D">
      <w:pPr>
        <w:pStyle w:val="NormalWeb"/>
        <w:spacing w:before="0" w:beforeAutospacing="0" w:after="0" w:afterAutospacing="0"/>
        <w:jc w:val="both"/>
        <w:rPr>
          <w:rFonts w:ascii="Cambria" w:hAnsi="Cambria" w:cs="Arial"/>
          <w:b/>
          <w:i/>
          <w:u w:val="single"/>
          <w:lang w:val="ro-RO"/>
        </w:rPr>
      </w:pPr>
    </w:p>
    <w:p w:rsidR="00A05AAE" w:rsidRPr="00985EBC" w:rsidRDefault="00A05AAE" w:rsidP="00A05AAE">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La acest compartiment, experţii CAPC au specificat, potrivit unei liste predeterminate domeniul de reglementare, selectînd drepturile omului corespondente, aşa cum acestea sunt tratate de Constituţia Republicii Moldova.</w:t>
      </w:r>
    </w:p>
    <w:p w:rsidR="001F7B56" w:rsidRPr="00EC15F7" w:rsidRDefault="001F7B56" w:rsidP="007139C9">
      <w:pPr>
        <w:pStyle w:val="Heading1"/>
        <w:rPr>
          <w:lang w:val="ro-RO"/>
        </w:rPr>
      </w:pPr>
      <w:bookmarkStart w:id="20" w:name="_Toc409790627"/>
      <w:r w:rsidRPr="00EC15F7">
        <w:rPr>
          <w:lang w:val="ro-RO"/>
        </w:rPr>
        <w:t>III.7.1 Drepturi şi libertăţi individuale</w:t>
      </w:r>
      <w:bookmarkEnd w:id="20"/>
    </w:p>
    <w:p w:rsidR="001F7B56" w:rsidRPr="00985EBC" w:rsidRDefault="001F7B56" w:rsidP="00B97B4D">
      <w:pPr>
        <w:pStyle w:val="NormalWeb"/>
        <w:spacing w:before="0" w:beforeAutospacing="0" w:after="0" w:afterAutospacing="0"/>
        <w:jc w:val="both"/>
        <w:rPr>
          <w:rFonts w:ascii="Cambria" w:hAnsi="Cambria" w:cs="Arial"/>
          <w:b/>
          <w:i/>
          <w:u w:val="single"/>
          <w:lang w:val="ro-RO"/>
        </w:rPr>
      </w:pPr>
    </w:p>
    <w:p w:rsidR="00B97B4D" w:rsidRPr="00985EBC" w:rsidRDefault="000304D9" w:rsidP="00B97B4D">
      <w:pPr>
        <w:pStyle w:val="NormalWeb"/>
        <w:spacing w:before="0" w:beforeAutospacing="0" w:after="0" w:afterAutospacing="0"/>
        <w:jc w:val="both"/>
        <w:rPr>
          <w:rFonts w:ascii="Cambria" w:hAnsi="Cambria" w:cs="Arial"/>
          <w:lang w:val="ro-RO"/>
        </w:rPr>
      </w:pPr>
      <w:r w:rsidRPr="00985EBC">
        <w:rPr>
          <w:rFonts w:ascii="Cambria" w:hAnsi="Cambria" w:cs="Arial"/>
          <w:lang w:val="ro-RO"/>
        </w:rPr>
        <w:t>Drepturile şi libertăţile individuale</w:t>
      </w:r>
      <w:r w:rsidR="001F7B56" w:rsidRPr="00985EBC">
        <w:rPr>
          <w:rFonts w:ascii="Cambria" w:hAnsi="Cambria" w:cs="Arial"/>
          <w:lang w:val="ro-RO"/>
        </w:rPr>
        <w:t xml:space="preserve"> </w:t>
      </w:r>
      <w:r w:rsidR="00B97B4D" w:rsidRPr="00985EBC">
        <w:rPr>
          <w:rFonts w:ascii="Cambria" w:hAnsi="Cambria" w:cs="Arial"/>
          <w:lang w:val="ro-RO"/>
        </w:rPr>
        <w:t xml:space="preserve">sînt formate din inviolabilităţi, adică acele drepturi şi libertăţi individuale care, prin conţinutul lor, asigură viaţa, siguranţa fizică şi psihică, posibilitatea de circulaţie liberă etc. </w:t>
      </w:r>
      <w:r w:rsidR="00DE7CA6" w:rsidRPr="00985EBC">
        <w:rPr>
          <w:rFonts w:ascii="Cambria" w:hAnsi="Cambria" w:cs="Arial"/>
          <w:lang w:val="ro-RO"/>
        </w:rPr>
        <w:t xml:space="preserve">În această </w:t>
      </w:r>
      <w:r w:rsidR="00B97B4D" w:rsidRPr="00985EBC">
        <w:rPr>
          <w:rFonts w:ascii="Cambria" w:hAnsi="Cambria" w:cs="Arial"/>
          <w:lang w:val="ro-RO"/>
        </w:rPr>
        <w:t xml:space="preserve">categorie de drepturi constituţionale </w:t>
      </w:r>
      <w:r w:rsidR="00DE7CA6" w:rsidRPr="00985EBC">
        <w:rPr>
          <w:rFonts w:ascii="Cambria" w:hAnsi="Cambria" w:cs="Arial"/>
          <w:lang w:val="ro-RO"/>
        </w:rPr>
        <w:t>au fost rînduite</w:t>
      </w:r>
      <w:r w:rsidR="00B97B4D" w:rsidRPr="00985EBC">
        <w:rPr>
          <w:rFonts w:ascii="Cambria" w:hAnsi="Cambria" w:cs="Arial"/>
          <w:lang w:val="ro-RO"/>
        </w:rPr>
        <w:t>: dreptul de a nu fi discriminat (art. 16); dreptul la viaţă şi la integritate fizică şi psihică (art.24); libertatea individuală şi siguranţa persoanei (art.25); dreptul la apărare (art.26); dreptul la libera circulaţie (art.27); dreptul la viaţa intimă, familială şi privată (art.28); inviolabilitatea domiciliului (art.29); secretul corespondenţei (art.30); interzicerea muncii forţate (art.44).</w:t>
      </w:r>
    </w:p>
    <w:p w:rsidR="00B97B4D" w:rsidRPr="00985EBC" w:rsidRDefault="00B97B4D" w:rsidP="00B97B4D">
      <w:pPr>
        <w:pStyle w:val="NormalWeb"/>
        <w:spacing w:before="0" w:beforeAutospacing="0" w:after="0" w:afterAutospacing="0"/>
        <w:jc w:val="both"/>
        <w:rPr>
          <w:rFonts w:ascii="Cambria" w:hAnsi="Cambria" w:cs="Arial"/>
          <w:lang w:val="ro-RO"/>
        </w:rPr>
      </w:pPr>
    </w:p>
    <w:p w:rsidR="00DE7CA6" w:rsidRPr="00985EBC" w:rsidRDefault="00DE7CA6" w:rsidP="00B97B4D">
      <w:pPr>
        <w:pStyle w:val="NormalWeb"/>
        <w:spacing w:before="0" w:beforeAutospacing="0" w:after="0" w:afterAutospacing="0"/>
        <w:jc w:val="both"/>
        <w:rPr>
          <w:rFonts w:ascii="Cambria" w:hAnsi="Cambria" w:cs="Arial"/>
          <w:lang w:val="ro-RO"/>
        </w:rPr>
      </w:pPr>
      <w:r w:rsidRPr="00985EBC">
        <w:rPr>
          <w:rFonts w:ascii="Cambria" w:hAnsi="Cambria" w:cs="Arial"/>
          <w:lang w:val="ro-RO"/>
        </w:rPr>
        <w:t>Astfel, drepturile constituţionale din categoria „Drepturi şi libertăţi individuale” sunt reglementate expres sau tacit în 55 proiecte de legi. Cea mai mare pondere în această categorie a înregistrat-o „Dreptul de a nu fi discriminat (art. 16 din Constituţia RM)”, care este reglementat în 16 proiecte de legi expertizate de CAPC, urmat de „</w:t>
      </w:r>
      <w:r w:rsidRPr="00985EBC">
        <w:rPr>
          <w:rFonts w:asciiTheme="majorHAnsi" w:hAnsiTheme="majorHAnsi"/>
          <w:lang w:val="ro-RO"/>
        </w:rPr>
        <w:t xml:space="preserve">Libertatea </w:t>
      </w:r>
      <w:r w:rsidRPr="00985EBC">
        <w:rPr>
          <w:rFonts w:asciiTheme="majorHAnsi" w:hAnsiTheme="majorHAnsi"/>
          <w:lang w:val="ro-RO"/>
        </w:rPr>
        <w:lastRenderedPageBreak/>
        <w:t xml:space="preserve">individuală </w:t>
      </w:r>
      <w:r w:rsidRPr="00985EBC">
        <w:rPr>
          <w:rFonts w:asciiTheme="majorHAnsi" w:hAnsiTheme="majorHAnsi" w:cs="Cambria Math"/>
          <w:lang w:val="ro-RO"/>
        </w:rPr>
        <w:t>ș</w:t>
      </w:r>
      <w:r w:rsidRPr="00985EBC">
        <w:rPr>
          <w:rFonts w:asciiTheme="majorHAnsi" w:hAnsiTheme="majorHAnsi"/>
          <w:lang w:val="ro-RO"/>
        </w:rPr>
        <w:t>i siguran</w:t>
      </w:r>
      <w:r w:rsidRPr="00985EBC">
        <w:rPr>
          <w:rFonts w:asciiTheme="majorHAnsi" w:hAnsiTheme="majorHAnsi" w:cs="Cambria Math"/>
          <w:lang w:val="ro-RO"/>
        </w:rPr>
        <w:t>ț</w:t>
      </w:r>
      <w:r w:rsidRPr="00985EBC">
        <w:rPr>
          <w:rFonts w:asciiTheme="majorHAnsi" w:hAnsiTheme="majorHAnsi"/>
          <w:lang w:val="ro-RO"/>
        </w:rPr>
        <w:t xml:space="preserve">a persoanei </w:t>
      </w:r>
      <w:r w:rsidR="00B93329" w:rsidRPr="00985EBC">
        <w:rPr>
          <w:rFonts w:ascii="Cambria" w:hAnsi="Cambria" w:cs="Arial"/>
          <w:lang w:val="ro-RO"/>
        </w:rPr>
        <w:t>(art. 25 din Constituţia RM)”, care este reglementat în 9 proiecte de legi.</w:t>
      </w:r>
    </w:p>
    <w:p w:rsidR="00DE7CA6" w:rsidRPr="00EC15F7" w:rsidRDefault="00B93329" w:rsidP="007139C9">
      <w:pPr>
        <w:pStyle w:val="Heading1"/>
        <w:rPr>
          <w:lang w:val="ro-RO"/>
        </w:rPr>
      </w:pPr>
      <w:bookmarkStart w:id="21" w:name="_Toc409790628"/>
      <w:r w:rsidRPr="00EC15F7">
        <w:rPr>
          <w:lang w:val="ro-RO"/>
        </w:rPr>
        <w:t>III.7.2 Drepturile şi libertăţile social-economice</w:t>
      </w:r>
      <w:bookmarkEnd w:id="21"/>
    </w:p>
    <w:p w:rsidR="00DE7CA6" w:rsidRPr="00985EBC" w:rsidRDefault="00DE7CA6" w:rsidP="00B97B4D">
      <w:pPr>
        <w:pStyle w:val="NormalWeb"/>
        <w:spacing w:before="0" w:beforeAutospacing="0" w:after="0" w:afterAutospacing="0"/>
        <w:jc w:val="both"/>
        <w:rPr>
          <w:rFonts w:ascii="Cambria" w:hAnsi="Cambria" w:cs="Arial"/>
          <w:lang w:val="ro-RO"/>
        </w:rPr>
      </w:pPr>
    </w:p>
    <w:p w:rsidR="00B93329" w:rsidRPr="00985EBC" w:rsidRDefault="00B93329" w:rsidP="00B93329">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Drepturile constituţionale din categoria „Drepturi şi libertăţi social-economice” sunt reglementate expres sau tacit în 75 proiecte de legi expertizate, ceea ce înseamnă că apro</w:t>
      </w:r>
      <w:r w:rsidR="0024603A" w:rsidRPr="00985EBC">
        <w:rPr>
          <w:rFonts w:ascii="Cambria" w:hAnsi="Cambria" w:cs="Arial"/>
          <w:sz w:val="24"/>
          <w:szCs w:val="24"/>
        </w:rPr>
        <w:t>a</w:t>
      </w:r>
      <w:r w:rsidRPr="00985EBC">
        <w:rPr>
          <w:rFonts w:ascii="Cambria" w:hAnsi="Cambria" w:cs="Arial"/>
          <w:sz w:val="24"/>
          <w:szCs w:val="24"/>
        </w:rPr>
        <w:t>pe toate proiectele de legi</w:t>
      </w:r>
      <w:r w:rsidR="0024603A" w:rsidRPr="00985EBC">
        <w:rPr>
          <w:rFonts w:ascii="Cambria" w:hAnsi="Cambria" w:cs="Arial"/>
          <w:sz w:val="24"/>
          <w:szCs w:val="24"/>
        </w:rPr>
        <w:t xml:space="preserve"> expertizate se referă la vre-un drept din categoria „Drepturilor şi libertăţile social-economice”.</w:t>
      </w:r>
    </w:p>
    <w:p w:rsidR="00B93329" w:rsidRPr="00985EBC" w:rsidRDefault="00B93329" w:rsidP="00B97B4D">
      <w:pPr>
        <w:pStyle w:val="NormalWeb"/>
        <w:spacing w:before="0" w:beforeAutospacing="0" w:after="0" w:afterAutospacing="0"/>
        <w:jc w:val="both"/>
        <w:rPr>
          <w:rFonts w:ascii="Cambria" w:hAnsi="Cambria" w:cs="Arial"/>
          <w:lang w:val="ro-RO"/>
        </w:rPr>
      </w:pPr>
    </w:p>
    <w:p w:rsidR="00B97B4D" w:rsidRPr="00985EBC" w:rsidRDefault="00B93329" w:rsidP="00B97B4D">
      <w:pPr>
        <w:pStyle w:val="NormalWeb"/>
        <w:spacing w:before="0" w:beforeAutospacing="0" w:after="0" w:afterAutospacing="0"/>
        <w:jc w:val="both"/>
        <w:rPr>
          <w:rFonts w:ascii="Cambria" w:hAnsi="Cambria" w:cs="Arial"/>
          <w:lang w:val="ro-RO"/>
        </w:rPr>
      </w:pPr>
      <w:r w:rsidRPr="00985EBC">
        <w:rPr>
          <w:rFonts w:ascii="Cambria" w:hAnsi="Cambria" w:cs="Arial"/>
          <w:lang w:val="ro-RO"/>
        </w:rPr>
        <w:t>D</w:t>
      </w:r>
      <w:r w:rsidR="00B97B4D" w:rsidRPr="00985EBC">
        <w:rPr>
          <w:rFonts w:ascii="Cambria" w:hAnsi="Cambria" w:cs="Arial"/>
          <w:lang w:val="ro-RO"/>
        </w:rPr>
        <w:t xml:space="preserve">in </w:t>
      </w:r>
      <w:r w:rsidR="0024603A" w:rsidRPr="00985EBC">
        <w:rPr>
          <w:rFonts w:ascii="Cambria" w:hAnsi="Cambria" w:cs="Arial"/>
          <w:lang w:val="ro-RO"/>
        </w:rPr>
        <w:t xml:space="preserve">această </w:t>
      </w:r>
      <w:r w:rsidR="00B97B4D" w:rsidRPr="00985EBC">
        <w:rPr>
          <w:rFonts w:ascii="Cambria" w:hAnsi="Cambria" w:cs="Arial"/>
          <w:lang w:val="ro-RO"/>
        </w:rPr>
        <w:t>categori</w:t>
      </w:r>
      <w:r w:rsidR="0024603A" w:rsidRPr="00985EBC">
        <w:rPr>
          <w:rFonts w:ascii="Cambria" w:hAnsi="Cambria" w:cs="Arial"/>
          <w:lang w:val="ro-RO"/>
        </w:rPr>
        <w:t xml:space="preserve">e de drepturi </w:t>
      </w:r>
      <w:r w:rsidR="00B97B4D" w:rsidRPr="00985EBC">
        <w:rPr>
          <w:rFonts w:ascii="Cambria" w:hAnsi="Cambria" w:cs="Arial"/>
          <w:lang w:val="ro-RO"/>
        </w:rPr>
        <w:t>fac parte: dreptul la ocrotirea sănătăţii (art.36); dreptul la un mediu înconjurător sănătos (art.37); dreptul la muncă şi la protecţia muncii (art.43); dreptul la grevă (art.45); dreptul la proprietate privată şi protecţia acesteia (art.46); dreptul la asistenţă şi protecţie socială (art.47); ocrotirea mamei, copiilor şi a tinerilor (art.50); protecţia persoanelor handicapate (art.51); familia (art. 48); protecţia familiei şi a copiilor orfani (art.49).</w:t>
      </w:r>
    </w:p>
    <w:p w:rsidR="00B93329" w:rsidRPr="00985EBC" w:rsidRDefault="00B93329" w:rsidP="00B97B4D">
      <w:pPr>
        <w:pStyle w:val="ListParagraph1"/>
        <w:spacing w:after="0" w:line="240" w:lineRule="auto"/>
        <w:ind w:left="0"/>
        <w:jc w:val="both"/>
        <w:rPr>
          <w:rFonts w:ascii="Cambria" w:hAnsi="Cambria" w:cs="Arial"/>
          <w:sz w:val="24"/>
          <w:szCs w:val="24"/>
        </w:rPr>
      </w:pPr>
    </w:p>
    <w:p w:rsidR="00B93329" w:rsidRPr="00985EBC" w:rsidRDefault="0024603A" w:rsidP="00B97B4D">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Cea mai mare pondere de reglementare în categoria „Drepturi şi libertăţi social-economice” a înregistrat-o „Dreptul la proprietate privată și protecția acesteia (articolul 46 din Constituţia RM)” – 18 proiecte de legi, urmat de „Dreptul la muncă și la protecția muncii (art. 43 din Constituţia RM)”, fiind reglementat 14 proiecte de legi, iar cea mai mică pondere (3 proiecte de legi) „Protecţia familiei şi a copiilor orfani (art.49 din Constituţia RM)”.</w:t>
      </w:r>
    </w:p>
    <w:p w:rsidR="000F1E87" w:rsidRPr="00EC15F7" w:rsidRDefault="000F1E87" w:rsidP="007139C9">
      <w:pPr>
        <w:pStyle w:val="Heading1"/>
      </w:pPr>
      <w:bookmarkStart w:id="22" w:name="_Toc409790629"/>
      <w:r w:rsidRPr="00EC15F7">
        <w:t>III.7.3 Drepturile şi libertăţile civile şi politice</w:t>
      </w:r>
      <w:bookmarkEnd w:id="22"/>
    </w:p>
    <w:p w:rsidR="000F1E87" w:rsidRPr="00985EBC" w:rsidRDefault="000F1E87" w:rsidP="00B97B4D">
      <w:pPr>
        <w:pStyle w:val="ListParagraph1"/>
        <w:spacing w:after="0" w:line="240" w:lineRule="auto"/>
        <w:ind w:left="0"/>
        <w:jc w:val="both"/>
        <w:rPr>
          <w:rFonts w:ascii="Cambria" w:hAnsi="Cambria" w:cs="Arial"/>
          <w:b/>
          <w:i/>
          <w:sz w:val="24"/>
          <w:szCs w:val="24"/>
          <w:u w:val="single"/>
        </w:rPr>
      </w:pPr>
    </w:p>
    <w:p w:rsidR="00B97B4D" w:rsidRPr="00985EBC" w:rsidRDefault="00B97B4D" w:rsidP="00B97B4D">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 xml:space="preserve">Drepturile şi libertăţile civile şi politice reflectă nivelul dezvoltării statului pentru asigurarea protecţiei sociale şi determină posibilitatea participării oamenilor la administrarea statului si societăţii. </w:t>
      </w:r>
      <w:r w:rsidR="000304D9" w:rsidRPr="00985EBC">
        <w:rPr>
          <w:rFonts w:ascii="Cambria" w:hAnsi="Cambria" w:cs="Arial"/>
          <w:sz w:val="24"/>
          <w:szCs w:val="24"/>
        </w:rPr>
        <w:t xml:space="preserve">În </w:t>
      </w:r>
      <w:r w:rsidRPr="00985EBC">
        <w:rPr>
          <w:rFonts w:ascii="Cambria" w:hAnsi="Cambria" w:cs="Arial"/>
          <w:sz w:val="24"/>
          <w:szCs w:val="24"/>
        </w:rPr>
        <w:t>ace</w:t>
      </w:r>
      <w:r w:rsidR="000304D9" w:rsidRPr="00985EBC">
        <w:rPr>
          <w:rFonts w:ascii="Cambria" w:hAnsi="Cambria" w:cs="Arial"/>
          <w:sz w:val="24"/>
          <w:szCs w:val="24"/>
        </w:rPr>
        <w:t>a</w:t>
      </w:r>
      <w:r w:rsidRPr="00985EBC">
        <w:rPr>
          <w:rFonts w:ascii="Cambria" w:hAnsi="Cambria" w:cs="Arial"/>
          <w:sz w:val="24"/>
          <w:szCs w:val="24"/>
        </w:rPr>
        <w:t>st</w:t>
      </w:r>
      <w:r w:rsidR="000304D9" w:rsidRPr="00985EBC">
        <w:rPr>
          <w:rFonts w:ascii="Cambria" w:hAnsi="Cambria" w:cs="Arial"/>
          <w:sz w:val="24"/>
          <w:szCs w:val="24"/>
        </w:rPr>
        <w:t>ă</w:t>
      </w:r>
      <w:r w:rsidRPr="00985EBC">
        <w:rPr>
          <w:rFonts w:ascii="Cambria" w:hAnsi="Cambria" w:cs="Arial"/>
          <w:sz w:val="24"/>
          <w:szCs w:val="24"/>
        </w:rPr>
        <w:t xml:space="preserve"> categori</w:t>
      </w:r>
      <w:r w:rsidR="000304D9" w:rsidRPr="00985EBC">
        <w:rPr>
          <w:rFonts w:ascii="Cambria" w:hAnsi="Cambria" w:cs="Arial"/>
          <w:sz w:val="24"/>
          <w:szCs w:val="24"/>
        </w:rPr>
        <w:t>e</w:t>
      </w:r>
      <w:r w:rsidRPr="00985EBC">
        <w:rPr>
          <w:rFonts w:ascii="Cambria" w:hAnsi="Cambria" w:cs="Arial"/>
          <w:sz w:val="24"/>
          <w:szCs w:val="24"/>
        </w:rPr>
        <w:t xml:space="preserve"> de drepturi</w:t>
      </w:r>
      <w:r w:rsidR="000304D9" w:rsidRPr="00985EBC">
        <w:rPr>
          <w:rFonts w:ascii="Cambria" w:hAnsi="Cambria" w:cs="Arial"/>
          <w:sz w:val="24"/>
          <w:szCs w:val="24"/>
        </w:rPr>
        <w:t xml:space="preserve"> au fost rînduite</w:t>
      </w:r>
      <w:r w:rsidRPr="00985EBC">
        <w:rPr>
          <w:rFonts w:ascii="Cambria" w:hAnsi="Cambria" w:cs="Arial"/>
          <w:sz w:val="24"/>
          <w:szCs w:val="24"/>
        </w:rPr>
        <w:t>: dreptul de vot şi dreptul de a fi ales (art.38), dreptul la administrare (art.39); libertatea întrunirilor (art.40); libertatea partidelor şi a altor organizaţii social-politice (art.41); dreptul de a întemeia şi de a se afilia la sindicate (art.42); libertatea conştiinţei (art.31); libertatea opiniei şi a exprimării (art.32); dreptul la informaţie (art.34).</w:t>
      </w:r>
    </w:p>
    <w:p w:rsidR="000304D9" w:rsidRPr="00985EBC" w:rsidRDefault="000304D9" w:rsidP="00B97B4D">
      <w:pPr>
        <w:pStyle w:val="ListParagraph1"/>
        <w:spacing w:after="0" w:line="240" w:lineRule="auto"/>
        <w:ind w:left="0"/>
        <w:jc w:val="both"/>
        <w:rPr>
          <w:rFonts w:ascii="Cambria" w:hAnsi="Cambria" w:cs="Arial"/>
          <w:sz w:val="24"/>
          <w:szCs w:val="24"/>
        </w:rPr>
      </w:pPr>
    </w:p>
    <w:p w:rsidR="00B97B4D" w:rsidRPr="00985EBC" w:rsidRDefault="000304D9" w:rsidP="004D4898">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Drepturile constituţionale din categoria „Drepturi şi libertăţi civile şi politice” sunt reglementate expres sau tacit în 34 proiecte de legi expertizate de CAPC. Cea mai mare pondere în această categorie a înregistrat-o „Dreptul la informație (art. 34 din Constituţia RM)”, care este reglementat în 7 proiecte de legi expertizate de CAPC, iar cea mai mică – „Dreptul de a întemeia și a se afla la sindicate (art. 42 din Constituţia RM)” – 1 proiect de lege.</w:t>
      </w:r>
    </w:p>
    <w:p w:rsidR="000F1E87" w:rsidRPr="00EC15F7" w:rsidRDefault="000F1E87" w:rsidP="007139C9">
      <w:pPr>
        <w:pStyle w:val="Heading1"/>
      </w:pPr>
      <w:bookmarkStart w:id="23" w:name="_Toc409790630"/>
      <w:r w:rsidRPr="00EC15F7">
        <w:t>III.7.4 Drepturile şi libertăţile culturale</w:t>
      </w:r>
      <w:bookmarkEnd w:id="23"/>
    </w:p>
    <w:p w:rsidR="000F1E87" w:rsidRPr="00985EBC" w:rsidRDefault="000F1E87" w:rsidP="00B97B4D">
      <w:pPr>
        <w:pStyle w:val="ListParagraph1"/>
        <w:spacing w:after="0" w:line="240" w:lineRule="auto"/>
        <w:ind w:left="0"/>
        <w:jc w:val="both"/>
        <w:rPr>
          <w:rFonts w:ascii="Cambria" w:hAnsi="Cambria" w:cs="Arial"/>
          <w:b/>
          <w:i/>
          <w:sz w:val="24"/>
          <w:szCs w:val="24"/>
          <w:u w:val="single"/>
        </w:rPr>
      </w:pPr>
    </w:p>
    <w:p w:rsidR="00B97B4D" w:rsidRPr="00985EBC" w:rsidRDefault="00B97B4D" w:rsidP="00B97B4D">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 xml:space="preserve">Drepturile şi libertăţile culturale au o importanta deosebita pentru dezvoltarea multilaterala a omului şi influenţează nemijlocit relaţiile spirituale care condiţionează </w:t>
      </w:r>
      <w:r w:rsidRPr="00985EBC">
        <w:rPr>
          <w:rFonts w:ascii="Cambria" w:hAnsi="Cambria" w:cs="Arial"/>
          <w:sz w:val="24"/>
          <w:szCs w:val="24"/>
        </w:rPr>
        <w:lastRenderedPageBreak/>
        <w:t xml:space="preserve">independenţa şi originalitatea în formarea concepţiei spirituale a personalităţii. </w:t>
      </w:r>
      <w:r w:rsidR="000304D9" w:rsidRPr="00985EBC">
        <w:rPr>
          <w:rFonts w:ascii="Cambria" w:hAnsi="Cambria" w:cs="Arial"/>
          <w:sz w:val="24"/>
          <w:szCs w:val="24"/>
        </w:rPr>
        <w:t xml:space="preserve">În această categorie au fost </w:t>
      </w:r>
      <w:r w:rsidRPr="00985EBC">
        <w:rPr>
          <w:rFonts w:ascii="Cambria" w:hAnsi="Cambria" w:cs="Arial"/>
          <w:sz w:val="24"/>
          <w:szCs w:val="24"/>
        </w:rPr>
        <w:t>inclu</w:t>
      </w:r>
      <w:r w:rsidR="000304D9" w:rsidRPr="00985EBC">
        <w:rPr>
          <w:rFonts w:ascii="Cambria" w:hAnsi="Cambria" w:cs="Arial"/>
          <w:sz w:val="24"/>
          <w:szCs w:val="24"/>
        </w:rPr>
        <w:t>se</w:t>
      </w:r>
      <w:r w:rsidRPr="00985EBC">
        <w:rPr>
          <w:rFonts w:ascii="Cambria" w:hAnsi="Cambria" w:cs="Arial"/>
          <w:sz w:val="24"/>
          <w:szCs w:val="24"/>
        </w:rPr>
        <w:t>: dreptul la învăţătură (art.35); libertatea creaţiei (art.33).</w:t>
      </w:r>
    </w:p>
    <w:p w:rsidR="000F1E87" w:rsidRPr="00985EBC" w:rsidRDefault="000F1E87" w:rsidP="004F5B80">
      <w:pPr>
        <w:pStyle w:val="ListParagraph1"/>
        <w:spacing w:after="0" w:line="240" w:lineRule="auto"/>
        <w:ind w:left="0"/>
        <w:jc w:val="both"/>
        <w:rPr>
          <w:rFonts w:ascii="Cambria" w:hAnsi="Cambria" w:cs="Arial"/>
          <w:b/>
          <w:i/>
          <w:sz w:val="24"/>
          <w:szCs w:val="24"/>
          <w:u w:val="single"/>
        </w:rPr>
      </w:pPr>
    </w:p>
    <w:p w:rsidR="004F5B80" w:rsidRPr="00985EBC" w:rsidRDefault="004F5B80" w:rsidP="004F5B80">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Analizînd datele statistice gen</w:t>
      </w:r>
      <w:r w:rsidR="008941B4" w:rsidRPr="00985EBC">
        <w:rPr>
          <w:rFonts w:ascii="Cambria" w:hAnsi="Cambria" w:cs="Arial"/>
          <w:sz w:val="24"/>
          <w:szCs w:val="24"/>
        </w:rPr>
        <w:t>e</w:t>
      </w:r>
      <w:r w:rsidRPr="00985EBC">
        <w:rPr>
          <w:rFonts w:ascii="Cambria" w:hAnsi="Cambria" w:cs="Arial"/>
          <w:sz w:val="24"/>
          <w:szCs w:val="24"/>
        </w:rPr>
        <w:t>rate de e-template de efectuare a expertizei legislaţiei din perspectiva drepturilor omului, putem constata că reglementarea acestor categorii de drepturi nu a fost tocmai în „topul preferinţelor” legiuitorului, fiind examinate doar 6 proiecte de legi, dintre care 5 reglementează  „Dreptul la învăţătură (art.35 din Constituţia RM)” iar 1 proiect de lege – „Libertatea creaţiei (art.33 din Constituţia RM)”.</w:t>
      </w:r>
    </w:p>
    <w:p w:rsidR="00B97B4D" w:rsidRPr="00EC15F7" w:rsidRDefault="000F1E87" w:rsidP="007139C9">
      <w:pPr>
        <w:pStyle w:val="Heading1"/>
      </w:pPr>
      <w:bookmarkStart w:id="24" w:name="_Toc409790631"/>
      <w:r w:rsidRPr="00EC15F7">
        <w:t>III.7.5</w:t>
      </w:r>
      <w:r w:rsidR="008941B4" w:rsidRPr="00EC15F7">
        <w:t xml:space="preserve"> </w:t>
      </w:r>
      <w:r w:rsidRPr="00EC15F7">
        <w:t>Drepturile garanţii</w:t>
      </w:r>
      <w:bookmarkEnd w:id="24"/>
    </w:p>
    <w:p w:rsidR="000F1E87" w:rsidRPr="00985EBC" w:rsidRDefault="000F1E87" w:rsidP="00B97B4D">
      <w:pPr>
        <w:rPr>
          <w:rFonts w:ascii="Cambria" w:hAnsi="Cambria" w:cs="Arial"/>
          <w:b/>
          <w:i/>
          <w:sz w:val="24"/>
          <w:szCs w:val="24"/>
          <w:u w:val="single"/>
          <w:lang w:val="ro-RO"/>
        </w:rPr>
      </w:pPr>
    </w:p>
    <w:p w:rsidR="00B97B4D" w:rsidRPr="00985EBC" w:rsidRDefault="00B97B4D" w:rsidP="00B97B4D">
      <w:pPr>
        <w:rPr>
          <w:rFonts w:ascii="Cambria" w:hAnsi="Cambria" w:cs="Arial"/>
          <w:sz w:val="24"/>
          <w:szCs w:val="24"/>
          <w:lang w:val="ro-RO"/>
        </w:rPr>
      </w:pPr>
      <w:r w:rsidRPr="00985EBC">
        <w:rPr>
          <w:rFonts w:ascii="Cambria" w:hAnsi="Cambria" w:cs="Arial"/>
          <w:sz w:val="24"/>
          <w:szCs w:val="24"/>
          <w:lang w:val="ro-RO"/>
        </w:rPr>
        <w:t xml:space="preserve">Drepturile garanţii au o semnificaţie deosebită în asigurarea exercitării tuturor celorlalte drepturi şi libertăţi garantate de Constituţie. </w:t>
      </w:r>
      <w:r w:rsidR="008941B4" w:rsidRPr="00985EBC">
        <w:rPr>
          <w:rFonts w:ascii="Cambria" w:hAnsi="Cambria" w:cs="Arial"/>
          <w:sz w:val="24"/>
          <w:szCs w:val="24"/>
          <w:lang w:val="ro-RO"/>
        </w:rPr>
        <w:t xml:space="preserve">Din această </w:t>
      </w:r>
      <w:r w:rsidRPr="00985EBC">
        <w:rPr>
          <w:rFonts w:ascii="Cambria" w:hAnsi="Cambria" w:cs="Arial"/>
          <w:sz w:val="24"/>
          <w:szCs w:val="24"/>
          <w:lang w:val="ro-RO"/>
        </w:rPr>
        <w:t xml:space="preserve">categorie de drepturi </w:t>
      </w:r>
      <w:r w:rsidR="008941B4" w:rsidRPr="00985EBC">
        <w:rPr>
          <w:rFonts w:ascii="Cambria" w:hAnsi="Cambria" w:cs="Arial"/>
          <w:sz w:val="24"/>
          <w:szCs w:val="24"/>
          <w:lang w:val="ro-RO"/>
        </w:rPr>
        <w:t>fac parte</w:t>
      </w:r>
      <w:r w:rsidRPr="00985EBC">
        <w:rPr>
          <w:rFonts w:ascii="Cambria" w:hAnsi="Cambria" w:cs="Arial"/>
          <w:sz w:val="24"/>
          <w:szCs w:val="24"/>
          <w:lang w:val="ro-RO"/>
        </w:rPr>
        <w:t>: dreptul de petiţionare (art.52); dreptul persoanei vătămate de o autoritate publică la restabilirea dreptului încălcat şi la reparaţii (art.53); dreptul la cetăţenia Republicii Moldova (art. 17); dreptul cetăţenilor Republicii Moldova la protecţia din partea statului (art. 18); drepturile cetăţenilor străini şi al apatrizilor (art. 19); dreptul la acces liber la justiţie (art. 20); dreptul la prezumţia nevinovăţiei (art. 21); neretroactivitatea legii (art.22); dreptul de a cunoaşte drepturile şi îndatoririle (art.23).</w:t>
      </w:r>
    </w:p>
    <w:p w:rsidR="003E445A" w:rsidRPr="00985EBC" w:rsidRDefault="003E445A" w:rsidP="003E445A">
      <w:pPr>
        <w:pStyle w:val="ListParagraph1"/>
        <w:spacing w:after="0" w:line="240" w:lineRule="auto"/>
        <w:ind w:left="0"/>
        <w:jc w:val="both"/>
        <w:rPr>
          <w:rFonts w:ascii="Cambria" w:hAnsi="Cambria" w:cs="Arial"/>
          <w:sz w:val="24"/>
          <w:szCs w:val="24"/>
        </w:rPr>
      </w:pPr>
    </w:p>
    <w:p w:rsidR="00F24337" w:rsidRPr="00985EBC" w:rsidRDefault="00F24337" w:rsidP="003E445A">
      <w:pPr>
        <w:pStyle w:val="ListParagraph1"/>
        <w:spacing w:after="0" w:line="240" w:lineRule="auto"/>
        <w:ind w:left="0"/>
        <w:jc w:val="both"/>
        <w:rPr>
          <w:rFonts w:ascii="Cambria" w:hAnsi="Cambria" w:cs="Arial"/>
          <w:sz w:val="24"/>
          <w:szCs w:val="24"/>
        </w:rPr>
      </w:pPr>
      <w:r w:rsidRPr="00985EBC">
        <w:rPr>
          <w:rFonts w:ascii="Cambria" w:hAnsi="Cambria" w:cs="Arial"/>
          <w:sz w:val="24"/>
          <w:szCs w:val="24"/>
        </w:rPr>
        <w:t>Drepturile constituţionale din categoria „Drepturi garanţii” sunt reglementate expres sau tacit în 47 proiecte de legi. Reglementarea cea mai frecventă a fost înregistrată în privinţa „Dreptului la acces liber la justiție (art. 20 din Constituţia RM)”- 15 proiecte de legi. La celălalt pol – reglementare într-un singur proiect de lege, s-au poziţionat: „Dreptul la cetăţenia RM (art.17 din Constituţia RM)”, „Dreptul cetățenilor străini și a apatrizilor (art. 19 din Constituţia RM),” „Dreptul la prezumţia nevinovăţiei (art.21 din Constituţia RM)”, „Neretroactivitatea (art.22 din Constituţia RM)”.</w:t>
      </w:r>
    </w:p>
    <w:p w:rsidR="000D1C96" w:rsidRPr="00985EBC" w:rsidRDefault="000D1C96">
      <w:pPr>
        <w:rPr>
          <w:rFonts w:asciiTheme="majorHAnsi" w:hAnsiTheme="majorHAnsi"/>
          <w:b/>
          <w:sz w:val="24"/>
          <w:szCs w:val="24"/>
          <w:lang w:val="ro-RO"/>
        </w:rPr>
      </w:pPr>
    </w:p>
    <w:p w:rsidR="00817683" w:rsidRPr="00EC15F7" w:rsidRDefault="00817683" w:rsidP="007139C9">
      <w:pPr>
        <w:pStyle w:val="Heading1"/>
        <w:rPr>
          <w:lang w:val="ro-RO"/>
        </w:rPr>
      </w:pPr>
      <w:bookmarkStart w:id="25" w:name="_Toc409790632"/>
      <w:r w:rsidRPr="00EC15F7">
        <w:rPr>
          <w:lang w:val="ro-RO"/>
        </w:rPr>
        <w:t>III.</w:t>
      </w:r>
      <w:r w:rsidR="00FE6529" w:rsidRPr="00EC15F7">
        <w:rPr>
          <w:lang w:val="ro-RO"/>
        </w:rPr>
        <w:t>8</w:t>
      </w:r>
      <w:r w:rsidRPr="00EC15F7">
        <w:rPr>
          <w:lang w:val="ro-RO"/>
        </w:rPr>
        <w:t xml:space="preserve"> Impactul gender</w:t>
      </w:r>
      <w:r w:rsidR="00FE6529" w:rsidRPr="00EC15F7">
        <w:rPr>
          <w:lang w:val="ro-RO"/>
        </w:rPr>
        <w:t xml:space="preserve"> al proiectelor de legi</w:t>
      </w:r>
      <w:bookmarkEnd w:id="25"/>
    </w:p>
    <w:p w:rsidR="00817683" w:rsidRPr="00985EBC" w:rsidRDefault="00817683">
      <w:pPr>
        <w:rPr>
          <w:rFonts w:asciiTheme="majorHAnsi" w:hAnsiTheme="majorHAnsi"/>
          <w:sz w:val="16"/>
          <w:szCs w:val="16"/>
          <w:lang w:val="ro-RO"/>
        </w:rPr>
      </w:pPr>
    </w:p>
    <w:p w:rsidR="009E0D9D" w:rsidRPr="00985EBC" w:rsidRDefault="00FE6529" w:rsidP="00FE6529">
      <w:pPr>
        <w:rPr>
          <w:rFonts w:ascii="Cambria" w:hAnsi="Cambria" w:cs="Arial"/>
          <w:color w:val="000000"/>
          <w:sz w:val="24"/>
          <w:szCs w:val="24"/>
          <w:shd w:val="clear" w:color="auto" w:fill="FFFFFF"/>
          <w:lang w:val="ro-RO"/>
        </w:rPr>
      </w:pPr>
      <w:r w:rsidRPr="00985EBC">
        <w:rPr>
          <w:rFonts w:asciiTheme="majorHAnsi" w:hAnsiTheme="majorHAnsi"/>
          <w:sz w:val="24"/>
          <w:szCs w:val="24"/>
          <w:lang w:val="ro-RO"/>
        </w:rPr>
        <w:t>În procesul efectuării expertizei proiectelor de legi din perspectiva drepturilor omului experţii CAPC au evaluat şi impact</w:t>
      </w:r>
      <w:r w:rsidR="005F7F0A" w:rsidRPr="00985EBC">
        <w:rPr>
          <w:rFonts w:asciiTheme="majorHAnsi" w:hAnsiTheme="majorHAnsi"/>
          <w:sz w:val="24"/>
          <w:szCs w:val="24"/>
          <w:lang w:val="ro-RO"/>
        </w:rPr>
        <w:t xml:space="preserve">ul gender a proiectelor de legi, apeciind, dacă noile iniţiative legislative sînt conforme tratatelor internaţionale relevante, la care este parte </w:t>
      </w:r>
      <w:r w:rsidR="004F0CEC">
        <w:rPr>
          <w:rFonts w:asciiTheme="majorHAnsi" w:hAnsiTheme="majorHAnsi"/>
          <w:sz w:val="24"/>
          <w:szCs w:val="24"/>
          <w:lang w:val="ro-RO"/>
        </w:rPr>
        <w:t>R</w:t>
      </w:r>
      <w:r w:rsidR="005F7F0A" w:rsidRPr="00985EBC">
        <w:rPr>
          <w:rFonts w:asciiTheme="majorHAnsi" w:hAnsiTheme="majorHAnsi"/>
          <w:sz w:val="24"/>
          <w:szCs w:val="24"/>
          <w:lang w:val="ro-RO"/>
        </w:rPr>
        <w:t xml:space="preserve">epublica Moldova şi </w:t>
      </w:r>
      <w:r w:rsidR="005F7F0A" w:rsidRPr="00985EBC">
        <w:rPr>
          <w:rFonts w:ascii="Cambria" w:hAnsi="Cambria" w:cs="Arial"/>
          <w:color w:val="000000"/>
          <w:sz w:val="24"/>
          <w:szCs w:val="24"/>
          <w:shd w:val="clear" w:color="auto" w:fill="FFFFFF"/>
          <w:lang w:val="ro-RO"/>
        </w:rPr>
        <w:t>actelor</w:t>
      </w:r>
      <w:r w:rsidR="009E0D9D" w:rsidRPr="00985EBC">
        <w:rPr>
          <w:rFonts w:ascii="Cambria" w:hAnsi="Cambria" w:cs="Arial"/>
          <w:color w:val="000000"/>
          <w:sz w:val="24"/>
          <w:szCs w:val="24"/>
          <w:shd w:val="clear" w:color="auto" w:fill="FFFFFF"/>
          <w:lang w:val="ro-RO"/>
        </w:rPr>
        <w:t xml:space="preserve"> normative naţionale relevante asigurării egalităţii gender</w:t>
      </w:r>
      <w:r w:rsidR="005F7F0A" w:rsidRPr="00985EBC">
        <w:rPr>
          <w:rFonts w:ascii="Cambria" w:hAnsi="Cambria" w:cs="Arial"/>
          <w:color w:val="000000"/>
          <w:sz w:val="24"/>
          <w:szCs w:val="24"/>
          <w:shd w:val="clear" w:color="auto" w:fill="FFFFFF"/>
          <w:lang w:val="ro-RO"/>
        </w:rPr>
        <w:t xml:space="preserve">: </w:t>
      </w:r>
      <w:r w:rsidR="009E0D9D" w:rsidRPr="00985EBC">
        <w:rPr>
          <w:rFonts w:ascii="Cambria" w:hAnsi="Cambria" w:cs="Arial"/>
          <w:bCs/>
          <w:sz w:val="24"/>
          <w:szCs w:val="24"/>
          <w:lang w:val="ro-RO" w:eastAsia="ja-JP"/>
        </w:rPr>
        <w:t>Legea cu privire la asigurarea egalităţii de şanse între femei şi bărbaţi, nr.5-XVI din 09.02.2006;</w:t>
      </w:r>
      <w:r w:rsidRPr="00985EBC">
        <w:rPr>
          <w:rFonts w:ascii="Cambria" w:hAnsi="Cambria" w:cs="Arial"/>
          <w:bCs/>
          <w:sz w:val="24"/>
          <w:szCs w:val="24"/>
          <w:lang w:val="ro-RO" w:eastAsia="ja-JP"/>
        </w:rPr>
        <w:t xml:space="preserve"> </w:t>
      </w:r>
      <w:r w:rsidR="009E0D9D" w:rsidRPr="00985EBC">
        <w:rPr>
          <w:rFonts w:ascii="Cambria" w:hAnsi="Cambria" w:cs="Arial"/>
          <w:sz w:val="24"/>
          <w:szCs w:val="24"/>
          <w:lang w:val="ro-RO" w:eastAsia="ja-JP"/>
        </w:rPr>
        <w:t>Legea cu privire la asigurarea egalităţii, nr.121 din 25.05.2012;</w:t>
      </w:r>
      <w:r w:rsidRPr="00985EBC">
        <w:rPr>
          <w:rFonts w:ascii="Cambria" w:hAnsi="Cambria" w:cs="Arial"/>
          <w:bCs/>
          <w:sz w:val="24"/>
          <w:szCs w:val="24"/>
          <w:lang w:val="ro-RO" w:eastAsia="ja-JP"/>
        </w:rPr>
        <w:t xml:space="preserve"> </w:t>
      </w:r>
      <w:r w:rsidR="009E0D9D" w:rsidRPr="00985EBC">
        <w:rPr>
          <w:rFonts w:ascii="Cambria" w:hAnsi="Cambria" w:cs="Arial"/>
          <w:bCs/>
          <w:sz w:val="24"/>
          <w:szCs w:val="24"/>
          <w:lang w:val="ro-RO" w:eastAsia="ja-JP"/>
        </w:rPr>
        <w:t>Hotărîrea Guvernului privind aprobarea Nomenclatorului industriilor, profesiilor şi lucrărilor cu condiţii de muncă grele şi nocive, proscrise femeilor şi Normelor de solicitare maximă, admise pentru femei la ridicarea şi transportarea manuală a greutăţilor, nr.624 din 06.10.93;</w:t>
      </w:r>
      <w:r w:rsidRPr="00985EBC">
        <w:rPr>
          <w:rFonts w:ascii="Cambria" w:hAnsi="Cambria" w:cs="Arial"/>
          <w:bCs/>
          <w:sz w:val="24"/>
          <w:szCs w:val="24"/>
          <w:lang w:val="ro-RO" w:eastAsia="ja-JP"/>
        </w:rPr>
        <w:t xml:space="preserve"> </w:t>
      </w:r>
      <w:r w:rsidR="009E0D9D" w:rsidRPr="00985EBC">
        <w:rPr>
          <w:rFonts w:ascii="Cambria" w:hAnsi="Cambria" w:cs="Arial"/>
          <w:bCs/>
          <w:sz w:val="24"/>
          <w:szCs w:val="24"/>
          <w:lang w:val="ro-RO" w:eastAsia="ja-JP"/>
        </w:rPr>
        <w:t>Hotărîrea Guvernului cu privire la instituirea Comisiei guvernamentale pentru egalitate între femei şi bărbaţi, nr.350 din 07.04.2006;</w:t>
      </w:r>
      <w:r w:rsidRPr="00985EBC">
        <w:rPr>
          <w:rFonts w:ascii="Cambria" w:hAnsi="Cambria" w:cs="Arial"/>
          <w:bCs/>
          <w:sz w:val="24"/>
          <w:szCs w:val="24"/>
          <w:lang w:val="ro-RO" w:eastAsia="ja-JP"/>
        </w:rPr>
        <w:t xml:space="preserve"> </w:t>
      </w:r>
      <w:r w:rsidR="009E0D9D" w:rsidRPr="00985EBC">
        <w:rPr>
          <w:rFonts w:ascii="Cambria" w:hAnsi="Cambria" w:cs="Arial"/>
          <w:bCs/>
          <w:sz w:val="24"/>
          <w:szCs w:val="24"/>
          <w:lang w:val="ro-RO" w:eastAsia="ja-JP"/>
        </w:rPr>
        <w:t>Hotărîrea Guvernului cu privire la aprobarea Regulamentului Comisiei guvernamentale pentru egalitate între femei şi bărbaţi nr.895 din 07.08.2006;</w:t>
      </w:r>
      <w:r w:rsidRPr="00985EBC">
        <w:rPr>
          <w:rFonts w:ascii="Cambria" w:hAnsi="Cambria" w:cs="Arial"/>
          <w:bCs/>
          <w:sz w:val="24"/>
          <w:szCs w:val="24"/>
          <w:lang w:val="ro-RO" w:eastAsia="ja-JP"/>
        </w:rPr>
        <w:t xml:space="preserve"> </w:t>
      </w:r>
      <w:r w:rsidR="009E0D9D" w:rsidRPr="00985EBC">
        <w:rPr>
          <w:rFonts w:ascii="Cambria" w:hAnsi="Cambria" w:cs="Arial"/>
          <w:bCs/>
          <w:sz w:val="24"/>
          <w:szCs w:val="24"/>
          <w:lang w:val="ro-RO" w:eastAsia="ja-JP"/>
        </w:rPr>
        <w:t>Hotărîrea Guvernului cu privire la aprobarea Programului naţional de asigurare a egalităţii de gen pe anii 2010-2015, nr.933 din 31.12.2009.</w:t>
      </w:r>
    </w:p>
    <w:p w:rsidR="009E0D9D" w:rsidRPr="00985EBC" w:rsidRDefault="009E0D9D">
      <w:pPr>
        <w:rPr>
          <w:rFonts w:asciiTheme="majorHAnsi" w:hAnsiTheme="majorHAnsi"/>
          <w:sz w:val="16"/>
          <w:szCs w:val="16"/>
          <w:lang w:val="ro-RO"/>
        </w:rPr>
      </w:pPr>
    </w:p>
    <w:p w:rsidR="005F7F0A" w:rsidRPr="00985EBC" w:rsidRDefault="005F7F0A">
      <w:pPr>
        <w:rPr>
          <w:rFonts w:ascii="Cambria" w:hAnsi="Cambria" w:cs="Arial"/>
          <w:sz w:val="24"/>
          <w:szCs w:val="24"/>
          <w:lang w:val="ro-RO" w:eastAsia="ja-JP"/>
        </w:rPr>
      </w:pPr>
      <w:r w:rsidRPr="00985EBC">
        <w:rPr>
          <w:rFonts w:ascii="Cambria" w:hAnsi="Cambria" w:cs="Arial"/>
          <w:sz w:val="24"/>
          <w:szCs w:val="24"/>
          <w:lang w:val="ro-RO" w:eastAsia="ja-JP"/>
        </w:rPr>
        <w:t>Analiza rezultatelor datelor statistice, ne-a permis să constatăm că 7</w:t>
      </w:r>
      <w:r w:rsidR="00690C7A" w:rsidRPr="00985EBC">
        <w:rPr>
          <w:rFonts w:ascii="Cambria" w:hAnsi="Cambria" w:cs="Arial"/>
          <w:sz w:val="24"/>
          <w:szCs w:val="24"/>
          <w:lang w:val="ro-RO" w:eastAsia="ja-JP"/>
        </w:rPr>
        <w:t>4</w:t>
      </w:r>
      <w:r w:rsidRPr="00985EBC">
        <w:rPr>
          <w:rFonts w:ascii="Cambria" w:hAnsi="Cambria" w:cs="Arial"/>
          <w:sz w:val="24"/>
          <w:szCs w:val="24"/>
          <w:lang w:val="ro-RO" w:eastAsia="ja-JP"/>
        </w:rPr>
        <w:t xml:space="preserve"> de proiecte de legi din cele expertizate sînt gender neutre, ceea ce înseamnă că aceste proiecte de legi nu </w:t>
      </w:r>
      <w:r w:rsidRPr="00985EBC">
        <w:rPr>
          <w:rFonts w:ascii="Cambria" w:hAnsi="Cambria" w:cs="Arial"/>
          <w:sz w:val="24"/>
          <w:szCs w:val="24"/>
          <w:lang w:val="ro-RO" w:eastAsia="ja-JP"/>
        </w:rPr>
        <w:lastRenderedPageBreak/>
        <w:t>influenţează diferenţierea gender, nu contribuie la inegalitatea gender şi generează acelaşi impact atît asupra femeilor, cît şi bărbaţilor.</w:t>
      </w:r>
      <w:r w:rsidR="00690C7A" w:rsidRPr="00985EBC">
        <w:rPr>
          <w:rFonts w:ascii="Cambria" w:hAnsi="Cambria" w:cs="Arial"/>
          <w:sz w:val="24"/>
          <w:szCs w:val="24"/>
          <w:lang w:val="ro-RO" w:eastAsia="ja-JP"/>
        </w:rPr>
        <w:t xml:space="preserve"> </w:t>
      </w:r>
    </w:p>
    <w:p w:rsidR="00690C7A" w:rsidRPr="00985EBC" w:rsidRDefault="00690C7A">
      <w:pPr>
        <w:rPr>
          <w:rFonts w:asciiTheme="majorHAnsi" w:hAnsiTheme="majorHAnsi"/>
          <w:sz w:val="24"/>
          <w:szCs w:val="24"/>
          <w:lang w:val="ro-RO"/>
        </w:rPr>
      </w:pPr>
    </w:p>
    <w:p w:rsidR="00690C7A" w:rsidRPr="00985EBC" w:rsidRDefault="00690C7A" w:rsidP="00690C7A">
      <w:pPr>
        <w:pStyle w:val="NormalWeb"/>
        <w:spacing w:before="0" w:beforeAutospacing="0" w:after="0" w:afterAutospacing="0"/>
        <w:jc w:val="both"/>
        <w:rPr>
          <w:rFonts w:ascii="Cambria" w:hAnsi="Cambria" w:cs="Arial"/>
          <w:lang w:val="ro-RO" w:eastAsia="ja-JP"/>
        </w:rPr>
      </w:pPr>
      <w:r w:rsidRPr="00985EBC">
        <w:rPr>
          <w:rFonts w:asciiTheme="majorHAnsi" w:hAnsiTheme="majorHAnsi"/>
          <w:lang w:val="ro-RO"/>
        </w:rPr>
        <w:t xml:space="preserve">Două proiecte de legi sînt gender </w:t>
      </w:r>
      <w:r w:rsidRPr="00985EBC">
        <w:rPr>
          <w:rFonts w:asciiTheme="majorHAnsi" w:hAnsiTheme="majorHAnsi" w:cstheme="minorBidi"/>
          <w:lang w:val="ro-RO" w:eastAsia="en-US"/>
        </w:rPr>
        <w:t xml:space="preserve">orientate: </w:t>
      </w:r>
      <w:hyperlink r:id="rId26" w:history="1">
        <w:r w:rsidRPr="00985EBC">
          <w:rPr>
            <w:rFonts w:asciiTheme="majorHAnsi" w:hAnsiTheme="majorHAnsi" w:cstheme="minorBidi"/>
            <w:lang w:val="ro-RO" w:eastAsia="en-US"/>
          </w:rPr>
          <w:t>p</w:t>
        </w:r>
        <w:r w:rsidRPr="00985EBC">
          <w:rPr>
            <w:rFonts w:asciiTheme="majorHAnsi" w:eastAsiaTheme="minorHAnsi" w:hAnsiTheme="majorHAnsi" w:cstheme="minorBidi"/>
            <w:lang w:val="ro-RO" w:eastAsia="en-US"/>
          </w:rPr>
          <w:t>roiectul Codului educației al Republicii Moldova</w:t>
        </w:r>
      </w:hyperlink>
      <w:r w:rsidRPr="00985EBC">
        <w:rPr>
          <w:rFonts w:asciiTheme="majorHAnsi" w:hAnsiTheme="majorHAnsi" w:cstheme="minorBidi"/>
          <w:lang w:val="ro-RO" w:eastAsia="en-US"/>
        </w:rPr>
        <w:t xml:space="preserve"> şi </w:t>
      </w:r>
      <w:hyperlink r:id="rId27" w:history="1">
        <w:r w:rsidRPr="00985EBC">
          <w:rPr>
            <w:rFonts w:asciiTheme="majorHAnsi" w:eastAsiaTheme="minorHAnsi" w:hAnsiTheme="majorHAnsi" w:cstheme="minorBidi"/>
            <w:lang w:val="ro-RO" w:eastAsia="en-US"/>
          </w:rPr>
          <w:t>p</w:t>
        </w:r>
        <w:r w:rsidRPr="00985EBC">
          <w:rPr>
            <w:rFonts w:asciiTheme="majorHAnsi" w:hAnsiTheme="majorHAnsi"/>
            <w:lang w:val="ro-RO"/>
          </w:rPr>
          <w:t>roiectul L</w:t>
        </w:r>
        <w:r w:rsidRPr="00985EBC">
          <w:rPr>
            <w:rFonts w:asciiTheme="majorHAnsi" w:eastAsiaTheme="minorHAnsi" w:hAnsiTheme="majorHAnsi" w:cstheme="minorBidi"/>
            <w:lang w:val="ro-RO" w:eastAsia="en-US"/>
          </w:rPr>
          <w:t>egii pentru modificarea și completarea unor acte legislative (Legea cu privire la Guvern – art.2, 3, 19, 27; Legea presei – art.4, 8; ș.a.)</w:t>
        </w:r>
      </w:hyperlink>
      <w:r w:rsidRPr="00985EBC">
        <w:rPr>
          <w:rFonts w:asciiTheme="majorHAnsi" w:hAnsiTheme="majorHAnsi"/>
          <w:lang w:val="ro-RO"/>
        </w:rPr>
        <w:t xml:space="preserve">. Astfel, aceste proiecte </w:t>
      </w:r>
      <w:r w:rsidRPr="00985EBC">
        <w:rPr>
          <w:rFonts w:ascii="Cambria" w:hAnsi="Cambria" w:cs="Arial"/>
          <w:lang w:val="ro-RO" w:eastAsia="ja-JP"/>
        </w:rPr>
        <w:t xml:space="preserve"> sunt de natură să modifice efectele statutului defavorizat a persoanelor de un anumit sex, prin avantajarea directă a acestora.</w:t>
      </w:r>
    </w:p>
    <w:p w:rsidR="00690C7A" w:rsidRPr="00985EBC" w:rsidRDefault="00690C7A">
      <w:pPr>
        <w:rPr>
          <w:rFonts w:ascii="Cambria" w:eastAsia="Calibri" w:hAnsi="Cambria" w:cs="Arial"/>
          <w:sz w:val="24"/>
          <w:szCs w:val="24"/>
          <w:lang w:val="ro-RO" w:eastAsia="ja-JP"/>
        </w:rPr>
      </w:pPr>
    </w:p>
    <w:p w:rsidR="00FE6529" w:rsidRPr="00985EBC" w:rsidRDefault="00096AB5">
      <w:pPr>
        <w:rPr>
          <w:rFonts w:ascii="Cambria" w:eastAsia="Calibri" w:hAnsi="Cambria" w:cs="Arial"/>
          <w:sz w:val="24"/>
          <w:szCs w:val="24"/>
          <w:lang w:val="ro-RO" w:eastAsia="ja-JP"/>
        </w:rPr>
      </w:pPr>
      <w:r w:rsidRPr="00985EBC">
        <w:rPr>
          <w:rFonts w:ascii="Cambria" w:eastAsia="Calibri" w:hAnsi="Cambria" w:cs="Arial"/>
          <w:sz w:val="24"/>
          <w:szCs w:val="24"/>
          <w:lang w:val="ro-RO" w:eastAsia="ja-JP"/>
        </w:rPr>
        <w:t>Totodată, în cazul unui proiect de Lege (</w:t>
      </w:r>
      <w:hyperlink r:id="rId28" w:history="1">
        <w:r w:rsidRPr="00985EBC">
          <w:rPr>
            <w:rFonts w:ascii="Cambria" w:eastAsia="Calibri" w:hAnsi="Cambria" w:cs="Arial"/>
            <w:sz w:val="24"/>
            <w:szCs w:val="24"/>
            <w:lang w:val="ro-RO" w:eastAsia="ja-JP"/>
          </w:rPr>
          <w:t>Proiectul legii privind semnătura electronică și documentul electronic</w:t>
        </w:r>
      </w:hyperlink>
      <w:r w:rsidRPr="00985EBC">
        <w:rPr>
          <w:rFonts w:ascii="Cambria" w:eastAsia="Calibri" w:hAnsi="Cambria" w:cs="Arial"/>
          <w:sz w:val="24"/>
          <w:szCs w:val="24"/>
          <w:lang w:val="ro-RO" w:eastAsia="ja-JP"/>
        </w:rPr>
        <w:t>) s-a constatat necesitatea prevederii acţiunilor afirmative. Aceasta înseamnă că în procesul implementări acestei legi, egalitatea gender nu va putea fi asigurată, decît în situaţia în care legiuitorul va introduce acţiuni speciale temporare (de ordin organizaţional, legislativ, instituţional) îndreptate spre favorizarea persoanelor de un anumit sex.</w:t>
      </w:r>
    </w:p>
    <w:p w:rsidR="005F7F0A" w:rsidRDefault="005F7F0A"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Default="00FA516C" w:rsidP="005F7F0A">
      <w:pPr>
        <w:rPr>
          <w:rFonts w:asciiTheme="majorHAnsi" w:hAnsiTheme="majorHAnsi"/>
          <w:sz w:val="16"/>
          <w:szCs w:val="16"/>
          <w:lang w:val="ro-RO"/>
        </w:rPr>
      </w:pPr>
    </w:p>
    <w:p w:rsidR="00FA516C" w:rsidRPr="00851FE5" w:rsidRDefault="00FA516C" w:rsidP="007139C9">
      <w:pPr>
        <w:pStyle w:val="Heading1"/>
        <w:rPr>
          <w:lang w:val="fr-FR"/>
        </w:rPr>
      </w:pPr>
      <w:bookmarkStart w:id="26" w:name="_Toc409790633"/>
      <w:r w:rsidRPr="00851FE5">
        <w:rPr>
          <w:lang w:val="fr-FR"/>
        </w:rPr>
        <w:t>CAPITOLUL IV FACTORII DE VULNERABILITATE ÎN PROIECTELE DE LEGI EXPERTIZATE</w:t>
      </w:r>
      <w:bookmarkEnd w:id="26"/>
    </w:p>
    <w:p w:rsidR="00FA516C" w:rsidRDefault="00FA516C" w:rsidP="00FA516C">
      <w:pPr>
        <w:pStyle w:val="ListParagraph1"/>
        <w:spacing w:after="0" w:line="240" w:lineRule="auto"/>
        <w:ind w:left="0"/>
        <w:jc w:val="both"/>
        <w:rPr>
          <w:rFonts w:ascii="Cambria" w:hAnsi="Cambria" w:cs="Arial"/>
          <w:b/>
          <w:sz w:val="24"/>
          <w:szCs w:val="24"/>
        </w:rPr>
      </w:pPr>
    </w:p>
    <w:p w:rsidR="00FA516C" w:rsidRPr="00F71490" w:rsidRDefault="00FA516C" w:rsidP="00FA516C">
      <w:pPr>
        <w:pStyle w:val="ListParagraph1"/>
        <w:spacing w:after="0" w:line="240" w:lineRule="auto"/>
        <w:ind w:left="0"/>
        <w:jc w:val="both"/>
        <w:rPr>
          <w:rFonts w:ascii="Cambria" w:hAnsi="Cambria" w:cs="Arial"/>
          <w:sz w:val="24"/>
          <w:szCs w:val="24"/>
        </w:rPr>
      </w:pPr>
      <w:r>
        <w:rPr>
          <w:rFonts w:ascii="Cambria" w:hAnsi="Cambria" w:cs="Arial"/>
          <w:sz w:val="24"/>
          <w:szCs w:val="24"/>
        </w:rPr>
        <w:t>Acest capitol sintetizează obiecţiile concrete, formulate de experţii CAPC în rapoartele de expertiză, prin analiza răspîndirii factorilor de vulnerabilitate şi eficienţei formulării obiecţiilor. Totodată, acest capitol cuprinde şi o descriere succintă a fiecărui factor de vulnerabilitate identificat în proiectele de legi adoptate/retrase, răspîndirea acestuia în dependenţă de domeniile de reglementare a proiectelor de legi expertizate, eficienţa identificării lui în rapoartele de expertiză, precum şi exemple de factori de vulnerabilitate identificate în proiectele de legi adoptate/retrase.</w:t>
      </w:r>
    </w:p>
    <w:p w:rsidR="00FA516C" w:rsidRDefault="00FA516C" w:rsidP="00FA516C">
      <w:pPr>
        <w:pStyle w:val="ListParagraph1"/>
        <w:spacing w:after="0" w:line="240" w:lineRule="auto"/>
        <w:ind w:left="0"/>
        <w:jc w:val="both"/>
        <w:rPr>
          <w:rFonts w:ascii="Cambria" w:hAnsi="Cambria" w:cs="Arial"/>
          <w:b/>
          <w:sz w:val="24"/>
          <w:szCs w:val="24"/>
        </w:rPr>
      </w:pPr>
    </w:p>
    <w:p w:rsidR="00FA516C" w:rsidRPr="00E43A37" w:rsidRDefault="00FA516C" w:rsidP="00FA516C">
      <w:pPr>
        <w:pStyle w:val="ListParagraph1"/>
        <w:spacing w:after="0" w:line="240" w:lineRule="auto"/>
        <w:ind w:left="0"/>
        <w:jc w:val="both"/>
        <w:rPr>
          <w:rFonts w:ascii="Cambria" w:hAnsi="Cambria" w:cs="Arial"/>
          <w:sz w:val="24"/>
          <w:szCs w:val="24"/>
        </w:rPr>
      </w:pPr>
      <w:r w:rsidRPr="00E43A37">
        <w:rPr>
          <w:rFonts w:ascii="Cambria" w:hAnsi="Cambria" w:cs="Arial"/>
          <w:sz w:val="24"/>
          <w:szCs w:val="24"/>
        </w:rPr>
        <w:t>Factorii de vulnerabilitate au fost analizate din perspectiva:</w:t>
      </w:r>
    </w:p>
    <w:p w:rsidR="00FA516C" w:rsidRDefault="00FA516C" w:rsidP="00FA516C">
      <w:pPr>
        <w:pStyle w:val="ListParagraph1"/>
        <w:numPr>
          <w:ilvl w:val="0"/>
          <w:numId w:val="29"/>
        </w:numPr>
        <w:spacing w:after="0" w:line="240" w:lineRule="auto"/>
        <w:jc w:val="both"/>
        <w:rPr>
          <w:rFonts w:ascii="Cambria" w:hAnsi="Cambria" w:cs="Arial"/>
          <w:sz w:val="24"/>
          <w:szCs w:val="24"/>
        </w:rPr>
      </w:pPr>
      <w:r>
        <w:rPr>
          <w:rFonts w:ascii="Cambria" w:hAnsi="Cambria" w:cs="Arial"/>
          <w:sz w:val="24"/>
          <w:szCs w:val="24"/>
        </w:rPr>
        <w:t>p</w:t>
      </w:r>
      <w:r w:rsidRPr="00E43A37">
        <w:rPr>
          <w:rFonts w:ascii="Cambria" w:hAnsi="Cambria" w:cs="Arial"/>
          <w:sz w:val="24"/>
          <w:szCs w:val="24"/>
        </w:rPr>
        <w:t>onderii obiecţiilor la fiecare factor de vulnerabilitate din numărul total de obiecţii după domenii</w:t>
      </w:r>
    </w:p>
    <w:p w:rsidR="00FA516C" w:rsidRDefault="00FA516C" w:rsidP="00FA516C">
      <w:pPr>
        <w:pStyle w:val="ListParagraph1"/>
        <w:spacing w:after="0" w:line="240" w:lineRule="auto"/>
        <w:jc w:val="both"/>
        <w:rPr>
          <w:rFonts w:ascii="Cambria" w:hAnsi="Cambria" w:cs="Arial"/>
          <w:i/>
          <w:sz w:val="24"/>
          <w:szCs w:val="24"/>
        </w:rPr>
      </w:pPr>
      <w:r w:rsidRPr="00E43A37">
        <w:rPr>
          <w:rFonts w:ascii="Cambria" w:hAnsi="Cambria" w:cs="Arial"/>
          <w:i/>
          <w:sz w:val="24"/>
          <w:szCs w:val="24"/>
        </w:rPr>
        <w:t>eşantion: 991 de factori</w:t>
      </w:r>
      <w:r>
        <w:rPr>
          <w:rFonts w:ascii="Cambria" w:hAnsi="Cambria" w:cs="Arial"/>
          <w:i/>
          <w:sz w:val="24"/>
          <w:szCs w:val="24"/>
        </w:rPr>
        <w:t xml:space="preserve"> </w:t>
      </w:r>
      <w:r w:rsidRPr="00E43A37">
        <w:rPr>
          <w:rFonts w:ascii="Cambria" w:hAnsi="Cambria" w:cs="Arial"/>
          <w:i/>
          <w:sz w:val="24"/>
          <w:szCs w:val="24"/>
        </w:rPr>
        <w:t>(obiecţii) identificaţi  în 77 rapoarte de expertiză</w:t>
      </w:r>
    </w:p>
    <w:p w:rsidR="00FA516C" w:rsidRPr="00E43A37" w:rsidRDefault="00FA516C" w:rsidP="00FA516C">
      <w:pPr>
        <w:pStyle w:val="ListParagraph1"/>
        <w:spacing w:after="0" w:line="240" w:lineRule="auto"/>
        <w:jc w:val="both"/>
        <w:rPr>
          <w:rFonts w:ascii="Cambria" w:hAnsi="Cambria" w:cs="Arial"/>
          <w:i/>
          <w:sz w:val="24"/>
          <w:szCs w:val="24"/>
        </w:rPr>
      </w:pPr>
    </w:p>
    <w:p w:rsidR="00FA516C" w:rsidRDefault="00FA516C" w:rsidP="00FA516C">
      <w:pPr>
        <w:pStyle w:val="ListParagraph1"/>
        <w:numPr>
          <w:ilvl w:val="0"/>
          <w:numId w:val="29"/>
        </w:numPr>
        <w:spacing w:after="0" w:line="240" w:lineRule="auto"/>
        <w:jc w:val="both"/>
        <w:rPr>
          <w:rFonts w:ascii="Cambria" w:hAnsi="Cambria" w:cs="Arial"/>
          <w:sz w:val="24"/>
          <w:szCs w:val="24"/>
        </w:rPr>
      </w:pPr>
      <w:r>
        <w:rPr>
          <w:rFonts w:ascii="Cambria" w:hAnsi="Cambria" w:cs="Arial"/>
          <w:sz w:val="24"/>
          <w:szCs w:val="24"/>
        </w:rPr>
        <w:t>v</w:t>
      </w:r>
      <w:r w:rsidRPr="00E43A37">
        <w:rPr>
          <w:rFonts w:ascii="Cambria" w:hAnsi="Cambria" w:cs="Arial"/>
          <w:sz w:val="24"/>
          <w:szCs w:val="24"/>
        </w:rPr>
        <w:t>olumului acceptării de către legiuitor a obiecţiilor experţilor privind factorii de vulnerabilitate</w:t>
      </w:r>
    </w:p>
    <w:p w:rsidR="00FA516C" w:rsidRPr="00E43A37" w:rsidRDefault="00FA516C" w:rsidP="00FA516C">
      <w:pPr>
        <w:pStyle w:val="ListParagraph1"/>
        <w:spacing w:after="0" w:line="240" w:lineRule="auto"/>
        <w:jc w:val="both"/>
        <w:rPr>
          <w:rFonts w:ascii="Cambria" w:hAnsi="Cambria" w:cs="Arial"/>
          <w:sz w:val="24"/>
          <w:szCs w:val="24"/>
        </w:rPr>
      </w:pPr>
      <w:r w:rsidRPr="00E43A37">
        <w:rPr>
          <w:rFonts w:ascii="Cambria" w:hAnsi="Cambria" w:cs="Arial"/>
          <w:i/>
          <w:sz w:val="24"/>
          <w:szCs w:val="24"/>
        </w:rPr>
        <w:t xml:space="preserve">eşantion: </w:t>
      </w:r>
      <w:r>
        <w:rPr>
          <w:rFonts w:ascii="Cambria" w:hAnsi="Cambria" w:cs="Arial"/>
          <w:i/>
          <w:sz w:val="24"/>
          <w:szCs w:val="24"/>
        </w:rPr>
        <w:t>35</w:t>
      </w:r>
      <w:r w:rsidRPr="00E43A37">
        <w:rPr>
          <w:rFonts w:ascii="Cambria" w:hAnsi="Cambria" w:cs="Arial"/>
          <w:i/>
          <w:sz w:val="24"/>
          <w:szCs w:val="24"/>
        </w:rPr>
        <w:t xml:space="preserve">1 de factori(obiecţii) </w:t>
      </w:r>
      <w:r>
        <w:rPr>
          <w:rFonts w:ascii="Cambria" w:hAnsi="Cambria" w:cs="Arial"/>
          <w:i/>
          <w:sz w:val="24"/>
          <w:szCs w:val="24"/>
        </w:rPr>
        <w:t>în 23 de rapoarte de expertiză la actele legislative adoptate/retrase de Parlament</w:t>
      </w: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7139C9">
      <w:pPr>
        <w:pStyle w:val="Heading1"/>
      </w:pPr>
      <w:bookmarkStart w:id="27" w:name="_Toc409790634"/>
      <w:r w:rsidRPr="00571E3D">
        <w:t>IV.1 Răspîndirea factorilor de vulnerabilitate în proiectele de legi şi eficienţa obiecţiilor formulate</w:t>
      </w:r>
      <w:bookmarkEnd w:id="27"/>
      <w:r>
        <w:t xml:space="preserve"> </w:t>
      </w:r>
    </w:p>
    <w:p w:rsidR="00FA516C" w:rsidRDefault="00FA516C" w:rsidP="00FA516C">
      <w:pPr>
        <w:pStyle w:val="ListParagraph1"/>
        <w:spacing w:after="0" w:line="240" w:lineRule="auto"/>
        <w:ind w:left="0"/>
        <w:jc w:val="both"/>
        <w:rPr>
          <w:rFonts w:ascii="Cambria" w:hAnsi="Cambria" w:cs="Arial"/>
          <w:b/>
          <w:sz w:val="24"/>
          <w:szCs w:val="24"/>
        </w:rPr>
      </w:pPr>
    </w:p>
    <w:p w:rsidR="00FA516C" w:rsidRPr="00FA516C" w:rsidRDefault="00FA516C" w:rsidP="00FA516C">
      <w:pPr>
        <w:rPr>
          <w:rFonts w:ascii="Cambria" w:hAnsi="Cambria" w:cs="Arial"/>
          <w:b/>
          <w:sz w:val="24"/>
          <w:szCs w:val="24"/>
          <w:lang w:val="ro-RO"/>
        </w:rPr>
      </w:pPr>
      <w:r>
        <w:rPr>
          <w:rFonts w:ascii="Cambria" w:eastAsia="Times New Roman" w:hAnsi="Cambria" w:cs="Arial"/>
          <w:sz w:val="24"/>
          <w:szCs w:val="24"/>
          <w:lang w:val="ro-RO"/>
        </w:rPr>
        <w:t xml:space="preserve">În </w:t>
      </w:r>
      <w:r w:rsidRPr="008E07F6">
        <w:rPr>
          <w:rFonts w:ascii="Cambria" w:eastAsia="Times New Roman" w:hAnsi="Cambria" w:cs="Arial"/>
          <w:sz w:val="24"/>
          <w:szCs w:val="24"/>
          <w:lang w:val="ro-RO"/>
        </w:rPr>
        <w:t>Ghid</w:t>
      </w:r>
      <w:r>
        <w:rPr>
          <w:rFonts w:ascii="Cambria" w:eastAsia="Times New Roman" w:hAnsi="Cambria" w:cs="Arial"/>
          <w:sz w:val="24"/>
          <w:szCs w:val="24"/>
          <w:lang w:val="ro-RO"/>
        </w:rPr>
        <w:t xml:space="preserve">ul </w:t>
      </w:r>
      <w:r w:rsidRPr="008E07F6">
        <w:rPr>
          <w:rFonts w:ascii="Cambria" w:eastAsia="Times New Roman" w:hAnsi="Cambria" w:cs="Arial"/>
          <w:sz w:val="24"/>
          <w:szCs w:val="24"/>
          <w:lang w:val="ro-RO"/>
        </w:rPr>
        <w:t>pentru efectuarea</w:t>
      </w:r>
      <w:r>
        <w:rPr>
          <w:rFonts w:ascii="Cambria" w:eastAsia="Times New Roman" w:hAnsi="Cambria" w:cs="Arial"/>
          <w:sz w:val="24"/>
          <w:szCs w:val="24"/>
          <w:lang w:val="ro-RO"/>
        </w:rPr>
        <w:t xml:space="preserve"> </w:t>
      </w:r>
      <w:r w:rsidRPr="008E07F6">
        <w:rPr>
          <w:rFonts w:ascii="Cambria" w:eastAsia="Times New Roman" w:hAnsi="Cambria" w:cs="Arial"/>
          <w:sz w:val="24"/>
          <w:szCs w:val="24"/>
          <w:lang w:val="ro-RO"/>
        </w:rPr>
        <w:t>expertizei vulnerabilităţii proiectelor de acte normative prin prisma drepturilor omului şi egalităţii gender</w:t>
      </w:r>
      <w:r>
        <w:rPr>
          <w:rFonts w:ascii="Cambria" w:eastAsia="Times New Roman" w:hAnsi="Cambria" w:cs="Arial"/>
          <w:sz w:val="24"/>
          <w:szCs w:val="24"/>
          <w:lang w:val="ro-RO"/>
        </w:rPr>
        <w:t xml:space="preserve"> au fost identificate 16 factori de vulnerabilitate:</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 xml:space="preserve">Prevederi care încalcă drepturile/libertăţile </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Omisiune/ignorare a drepturilor/libertăţilor</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Omisiune/ignorare a egalităţii gender</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care stabilesc drepturi inegale pentru bărbaţi şi femei</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care stabilesc obligaţii inegale pentru bărbaţi şi femei</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necorespunzătoare jurisprudenţei CtEDO</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care limitează drepturile/libertăţile</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necorespunzătoare normelor constituţionale</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necorespunzătoare normelor din legislaţia corelativă</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necorespunzătoare standardelor internaţionale</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necorespunzătoare jurisprudenţei Curţii Constituţionale</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care stabilesc responsabilitate inegală pentru bărbaţi şi femei</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care nu asigură şanse egale pentru bărbaţi şi femei</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care nu asigură parteneriatul egal dintre bărbaţi şi femei;</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Rezultate (consecinţe) inegale pentru bărbaţi şi femei</w:t>
      </w:r>
    </w:p>
    <w:p w:rsidR="00FA516C" w:rsidRPr="00F0183F" w:rsidRDefault="00FA516C" w:rsidP="00FA516C">
      <w:pPr>
        <w:pStyle w:val="ListParagraph1"/>
        <w:numPr>
          <w:ilvl w:val="0"/>
          <w:numId w:val="26"/>
        </w:numPr>
        <w:spacing w:after="0" w:line="240" w:lineRule="auto"/>
        <w:ind w:left="2410" w:hanging="425"/>
        <w:jc w:val="both"/>
        <w:rPr>
          <w:rFonts w:ascii="Cambria" w:hAnsi="Cambria" w:cs="Arial"/>
          <w:sz w:val="24"/>
          <w:szCs w:val="24"/>
        </w:rPr>
      </w:pPr>
      <w:r w:rsidRPr="00F0183F">
        <w:rPr>
          <w:rFonts w:ascii="Cambria" w:hAnsi="Cambria" w:cs="Arial"/>
          <w:sz w:val="24"/>
          <w:szCs w:val="24"/>
        </w:rPr>
        <w:t>Prevederi discriminatorii</w:t>
      </w:r>
    </w:p>
    <w:p w:rsidR="00FA516C" w:rsidRDefault="00FA516C" w:rsidP="00FA516C">
      <w:pPr>
        <w:pStyle w:val="ListParagraph1"/>
        <w:spacing w:after="0" w:line="240" w:lineRule="auto"/>
        <w:ind w:left="0"/>
        <w:jc w:val="both"/>
        <w:rPr>
          <w:rFonts w:ascii="Cambria" w:hAnsi="Cambria" w:cs="Arial"/>
          <w:b/>
          <w:sz w:val="20"/>
          <w:szCs w:val="20"/>
        </w:rPr>
      </w:pPr>
      <w:r>
        <w:rPr>
          <w:rFonts w:ascii="Cambria" w:hAnsi="Cambria" w:cs="Arial"/>
          <w:b/>
          <w:sz w:val="20"/>
          <w:szCs w:val="20"/>
        </w:rPr>
        <w:t xml:space="preserve"> </w:t>
      </w:r>
    </w:p>
    <w:p w:rsidR="00FA516C" w:rsidRPr="00885263" w:rsidRDefault="00FA516C" w:rsidP="00FA516C">
      <w:pPr>
        <w:pStyle w:val="ListParagraph1"/>
        <w:spacing w:after="0" w:line="240" w:lineRule="auto"/>
        <w:ind w:left="0"/>
        <w:jc w:val="both"/>
        <w:rPr>
          <w:rFonts w:ascii="Cambria" w:hAnsi="Cambria" w:cs="Arial"/>
          <w:sz w:val="24"/>
          <w:szCs w:val="24"/>
        </w:rPr>
      </w:pPr>
      <w:r>
        <w:rPr>
          <w:rFonts w:ascii="Cambria" w:hAnsi="Cambria" w:cs="Arial"/>
          <w:sz w:val="24"/>
          <w:szCs w:val="24"/>
        </w:rPr>
        <w:t>Totodată, suplimentar la factorii de vulnerabilitate</w:t>
      </w:r>
      <w:r w:rsidRPr="00885263">
        <w:rPr>
          <w:rFonts w:ascii="Cambria" w:hAnsi="Cambria" w:cs="Arial"/>
          <w:sz w:val="24"/>
          <w:szCs w:val="24"/>
        </w:rPr>
        <w:t xml:space="preserve"> </w:t>
      </w:r>
      <w:r>
        <w:rPr>
          <w:rFonts w:ascii="Cambria" w:hAnsi="Cambria" w:cs="Arial"/>
          <w:sz w:val="24"/>
          <w:szCs w:val="24"/>
        </w:rPr>
        <w:t xml:space="preserve">stabiliţi în </w:t>
      </w:r>
      <w:r w:rsidRPr="008E07F6">
        <w:rPr>
          <w:rFonts w:ascii="Cambria" w:hAnsi="Cambria" w:cs="Arial"/>
          <w:sz w:val="24"/>
          <w:szCs w:val="24"/>
        </w:rPr>
        <w:t>Ghid</w:t>
      </w:r>
      <w:r>
        <w:rPr>
          <w:rFonts w:ascii="Cambria" w:hAnsi="Cambria" w:cs="Arial"/>
          <w:sz w:val="24"/>
          <w:szCs w:val="24"/>
        </w:rPr>
        <w:t xml:space="preserve">ul </w:t>
      </w:r>
      <w:r w:rsidRPr="008E07F6">
        <w:rPr>
          <w:rFonts w:ascii="Cambria" w:hAnsi="Cambria" w:cs="Arial"/>
          <w:sz w:val="24"/>
          <w:szCs w:val="24"/>
        </w:rPr>
        <w:t>pentru efectuarea</w:t>
      </w:r>
      <w:r>
        <w:rPr>
          <w:rFonts w:ascii="Cambria" w:hAnsi="Cambria" w:cs="Arial"/>
          <w:sz w:val="24"/>
          <w:szCs w:val="24"/>
        </w:rPr>
        <w:t xml:space="preserve"> </w:t>
      </w:r>
      <w:r w:rsidRPr="008E07F6">
        <w:rPr>
          <w:rFonts w:ascii="Cambria" w:hAnsi="Cambria" w:cs="Arial"/>
          <w:sz w:val="24"/>
          <w:szCs w:val="24"/>
        </w:rPr>
        <w:t>expertizei vulnerabilităţii proiectelor de acte normative prin prisma drepturilor omului şi egalităţii gender</w:t>
      </w:r>
      <w:r>
        <w:rPr>
          <w:rFonts w:ascii="Cambria" w:hAnsi="Cambria" w:cs="Arial"/>
          <w:sz w:val="24"/>
          <w:szCs w:val="24"/>
        </w:rPr>
        <w:t xml:space="preserve">, experţii au avut posibilitatea să identifice şi „Alte elemente”: nerespectarea exigenţelor de tehnică legislativă şi limbaj normativ; normă lacunară; </w:t>
      </w:r>
      <w:r>
        <w:rPr>
          <w:rFonts w:ascii="Cambria" w:hAnsi="Cambria" w:cs="Arial"/>
          <w:sz w:val="24"/>
          <w:szCs w:val="24"/>
        </w:rPr>
        <w:lastRenderedPageBreak/>
        <w:t>formulare ambiguă care admite interpretări abuzive; normă confuză; dublarea  normelor existente; lipsa/ambiguitatea procedurilor administrative, etc.</w:t>
      </w:r>
    </w:p>
    <w:p w:rsidR="00FA516C" w:rsidRDefault="00FA516C" w:rsidP="00FA516C">
      <w:pPr>
        <w:pStyle w:val="ListParagraph1"/>
        <w:spacing w:after="0" w:line="240" w:lineRule="auto"/>
        <w:ind w:left="0"/>
        <w:jc w:val="both"/>
        <w:rPr>
          <w:rFonts w:ascii="Cambria" w:hAnsi="Cambria" w:cs="Arial"/>
          <w:b/>
          <w:sz w:val="20"/>
          <w:szCs w:val="20"/>
        </w:rPr>
      </w:pPr>
    </w:p>
    <w:p w:rsidR="00FA516C" w:rsidRPr="00F0183F" w:rsidRDefault="00FA516C" w:rsidP="00FA516C">
      <w:pPr>
        <w:pStyle w:val="ListParagraph1"/>
        <w:spacing w:after="0" w:line="240" w:lineRule="auto"/>
        <w:ind w:left="0"/>
        <w:jc w:val="both"/>
        <w:rPr>
          <w:rFonts w:ascii="Cambria" w:hAnsi="Cambria" w:cs="Arial"/>
          <w:sz w:val="24"/>
          <w:szCs w:val="24"/>
        </w:rPr>
      </w:pPr>
      <w:r w:rsidRPr="00582D0A">
        <w:rPr>
          <w:rFonts w:ascii="Cambria" w:hAnsi="Cambria" w:cs="Arial"/>
          <w:sz w:val="24"/>
          <w:szCs w:val="24"/>
        </w:rPr>
        <w:t xml:space="preserve">Din numărul total de </w:t>
      </w:r>
      <w:r>
        <w:rPr>
          <w:rFonts w:ascii="Cambria" w:hAnsi="Cambria" w:cs="Arial"/>
          <w:sz w:val="24"/>
          <w:szCs w:val="24"/>
        </w:rPr>
        <w:t>factori de vulnerabilitate identificaţi  (714) cea mai mare pondere o au p</w:t>
      </w:r>
      <w:r w:rsidRPr="00F0183F">
        <w:rPr>
          <w:rFonts w:ascii="Cambria" w:hAnsi="Cambria" w:cs="Arial"/>
          <w:sz w:val="24"/>
          <w:szCs w:val="24"/>
        </w:rPr>
        <w:t>revederi</w:t>
      </w:r>
      <w:r>
        <w:rPr>
          <w:rFonts w:ascii="Cambria" w:hAnsi="Cambria" w:cs="Arial"/>
          <w:sz w:val="24"/>
          <w:szCs w:val="24"/>
        </w:rPr>
        <w:t>le</w:t>
      </w:r>
      <w:r w:rsidRPr="00F0183F">
        <w:rPr>
          <w:rFonts w:ascii="Cambria" w:hAnsi="Cambria" w:cs="Arial"/>
          <w:sz w:val="24"/>
          <w:szCs w:val="24"/>
        </w:rPr>
        <w:t xml:space="preserve"> necorespunzătoare normelor din legislaţia corelativă</w:t>
      </w:r>
      <w:r>
        <w:rPr>
          <w:rFonts w:ascii="Cambria" w:hAnsi="Cambria" w:cs="Arial"/>
          <w:sz w:val="24"/>
          <w:szCs w:val="24"/>
        </w:rPr>
        <w:t xml:space="preserve"> (243). Totuşi, ponderea celui mai răspîndit factor de vulnerabilitate este mai mică faţă de „Alte elemente” – 277 identificate în procesul efectuării expertizei a celor 77 proiecte de legi.</w:t>
      </w:r>
    </w:p>
    <w:p w:rsidR="00FA516C" w:rsidRPr="00582D0A" w:rsidRDefault="00FA516C" w:rsidP="00FA516C">
      <w:pPr>
        <w:pStyle w:val="ListParagraph1"/>
        <w:spacing w:after="0" w:line="240" w:lineRule="auto"/>
        <w:ind w:left="0"/>
        <w:jc w:val="both"/>
        <w:rPr>
          <w:rFonts w:ascii="Cambria" w:hAnsi="Cambria" w:cs="Arial"/>
          <w:sz w:val="24"/>
          <w:szCs w:val="24"/>
        </w:rPr>
      </w:pPr>
    </w:p>
    <w:p w:rsidR="00FA516C" w:rsidRPr="00CE7F0A" w:rsidRDefault="00FA516C" w:rsidP="00FA516C">
      <w:pPr>
        <w:pStyle w:val="ListParagraph1"/>
        <w:spacing w:after="0" w:line="240" w:lineRule="auto"/>
        <w:ind w:left="0"/>
        <w:jc w:val="both"/>
        <w:rPr>
          <w:rFonts w:ascii="Cambria" w:hAnsi="Cambria" w:cs="Arial"/>
          <w:sz w:val="24"/>
          <w:szCs w:val="24"/>
        </w:rPr>
      </w:pPr>
      <w:r>
        <w:rPr>
          <w:rFonts w:ascii="Cambria" w:hAnsi="Cambria" w:cs="Arial"/>
          <w:sz w:val="24"/>
          <w:szCs w:val="24"/>
        </w:rPr>
        <w:t>La celălalt pol al gradului de răspîndire se află următorii 6 factori de vulnerabilitate: p</w:t>
      </w:r>
      <w:r w:rsidRPr="00CE7F0A">
        <w:rPr>
          <w:rFonts w:ascii="Cambria" w:hAnsi="Cambria" w:cs="Arial"/>
          <w:sz w:val="24"/>
          <w:szCs w:val="24"/>
        </w:rPr>
        <w:t>revederi care stabilesc responsabilitate inegală pentru bărbaţi şi femei</w:t>
      </w:r>
      <w:r>
        <w:rPr>
          <w:rFonts w:ascii="Cambria" w:hAnsi="Cambria" w:cs="Arial"/>
          <w:sz w:val="24"/>
          <w:szCs w:val="24"/>
        </w:rPr>
        <w:t>; p</w:t>
      </w:r>
      <w:r w:rsidRPr="00CE7F0A">
        <w:rPr>
          <w:rFonts w:ascii="Cambria" w:hAnsi="Cambria" w:cs="Arial"/>
          <w:sz w:val="24"/>
          <w:szCs w:val="24"/>
        </w:rPr>
        <w:t>revederi care nu asigură şanse egale pentru bărbaţi şi femei</w:t>
      </w:r>
      <w:r>
        <w:rPr>
          <w:rFonts w:ascii="Cambria" w:hAnsi="Cambria" w:cs="Arial"/>
          <w:sz w:val="24"/>
          <w:szCs w:val="24"/>
        </w:rPr>
        <w:t>; p</w:t>
      </w:r>
      <w:r w:rsidRPr="00CE7F0A">
        <w:rPr>
          <w:rFonts w:ascii="Cambria" w:hAnsi="Cambria" w:cs="Arial"/>
          <w:sz w:val="24"/>
          <w:szCs w:val="24"/>
        </w:rPr>
        <w:t>revederi care nu asigură parteneriat</w:t>
      </w:r>
      <w:r>
        <w:rPr>
          <w:rFonts w:ascii="Cambria" w:hAnsi="Cambria" w:cs="Arial"/>
          <w:sz w:val="24"/>
          <w:szCs w:val="24"/>
        </w:rPr>
        <w:t>ul egal dintre bărbaţi şi femei; o</w:t>
      </w:r>
      <w:r w:rsidRPr="00F0183F">
        <w:rPr>
          <w:rFonts w:ascii="Cambria" w:hAnsi="Cambria" w:cs="Arial"/>
          <w:sz w:val="24"/>
          <w:szCs w:val="24"/>
        </w:rPr>
        <w:t>misiune/ignorare a egalităţii gender</w:t>
      </w:r>
      <w:r>
        <w:rPr>
          <w:rFonts w:ascii="Cambria" w:hAnsi="Cambria" w:cs="Arial"/>
          <w:sz w:val="24"/>
          <w:szCs w:val="24"/>
        </w:rPr>
        <w:t>; p</w:t>
      </w:r>
      <w:r w:rsidRPr="00F0183F">
        <w:rPr>
          <w:rFonts w:ascii="Cambria" w:hAnsi="Cambria" w:cs="Arial"/>
          <w:sz w:val="24"/>
          <w:szCs w:val="24"/>
        </w:rPr>
        <w:t>revederi care stabilesc drepturi inegale pentru bărbaţi şi femei</w:t>
      </w:r>
      <w:r>
        <w:rPr>
          <w:rFonts w:ascii="Cambria" w:hAnsi="Cambria" w:cs="Arial"/>
          <w:sz w:val="24"/>
          <w:szCs w:val="24"/>
        </w:rPr>
        <w:t>; r</w:t>
      </w:r>
      <w:r w:rsidRPr="00F0183F">
        <w:rPr>
          <w:rFonts w:ascii="Cambria" w:hAnsi="Cambria" w:cs="Arial"/>
          <w:sz w:val="24"/>
          <w:szCs w:val="24"/>
        </w:rPr>
        <w:t>ezultate (consecinţe) inegale pentru bărbaţi şi femei</w:t>
      </w:r>
      <w:r>
        <w:rPr>
          <w:rFonts w:ascii="Cambria" w:hAnsi="Cambria" w:cs="Arial"/>
          <w:sz w:val="24"/>
          <w:szCs w:val="24"/>
        </w:rPr>
        <w:t>. Astfel, trei factori de vulnerabilitate (</w:t>
      </w:r>
      <w:r w:rsidRPr="006C7DD5">
        <w:rPr>
          <w:rFonts w:ascii="Cambria" w:hAnsi="Cambria" w:cs="Arial"/>
          <w:i/>
          <w:sz w:val="24"/>
          <w:szCs w:val="24"/>
        </w:rPr>
        <w:t>prevederi care stabilesc responsabilitate inegală pentru bărbaţi şi femei; prevederi care nu asigură şanse egale pentru bărbaţi şi femei; prevederi care nu asigură parteneriatul egal dintre bărbaţi şi femei</w:t>
      </w:r>
      <w:r>
        <w:rPr>
          <w:rFonts w:ascii="Cambria" w:hAnsi="Cambria" w:cs="Arial"/>
          <w:sz w:val="24"/>
          <w:szCs w:val="24"/>
        </w:rPr>
        <w:t>) nu au fost identificate în nici</w:t>
      </w:r>
      <w:r w:rsidR="004F0CEC">
        <w:rPr>
          <w:rFonts w:ascii="Cambria" w:hAnsi="Cambria" w:cs="Arial"/>
          <w:sz w:val="24"/>
          <w:szCs w:val="24"/>
        </w:rPr>
        <w:t xml:space="preserve"> </w:t>
      </w:r>
      <w:r>
        <w:rPr>
          <w:rFonts w:ascii="Cambria" w:hAnsi="Cambria" w:cs="Arial"/>
          <w:sz w:val="24"/>
          <w:szCs w:val="24"/>
        </w:rPr>
        <w:t>unul din proiectele de legi expertizate, doi factori de vulnerabilitate (</w:t>
      </w:r>
      <w:r w:rsidRPr="006C7DD5">
        <w:rPr>
          <w:rFonts w:ascii="Cambria" w:hAnsi="Cambria" w:cs="Arial"/>
          <w:i/>
          <w:sz w:val="24"/>
          <w:szCs w:val="24"/>
        </w:rPr>
        <w:t>omisiune/ignorare a egalităţii gender; prevederi care stabilesc drepturi inegale pentru bărbaţi şi femei</w:t>
      </w:r>
      <w:r>
        <w:rPr>
          <w:rFonts w:ascii="Cambria" w:hAnsi="Cambria" w:cs="Arial"/>
          <w:sz w:val="24"/>
          <w:szCs w:val="24"/>
        </w:rPr>
        <w:t xml:space="preserve">) au fost identificate cîte o singură dată, iar  factorul - </w:t>
      </w:r>
      <w:r w:rsidRPr="006C7DD5">
        <w:rPr>
          <w:rFonts w:ascii="Cambria" w:hAnsi="Cambria" w:cs="Arial"/>
          <w:i/>
          <w:sz w:val="24"/>
          <w:szCs w:val="24"/>
        </w:rPr>
        <w:t>rezultate (consecinţe) inegale pentru bărbaţi şi femei</w:t>
      </w:r>
      <w:r>
        <w:rPr>
          <w:rFonts w:ascii="Cambria" w:hAnsi="Cambria" w:cs="Arial"/>
          <w:sz w:val="24"/>
          <w:szCs w:val="24"/>
        </w:rPr>
        <w:t xml:space="preserve"> – de două ori.</w:t>
      </w:r>
    </w:p>
    <w:p w:rsidR="00FA516C" w:rsidRPr="00F0183F" w:rsidRDefault="00FA516C" w:rsidP="00FA516C">
      <w:pPr>
        <w:pStyle w:val="ListParagraph1"/>
        <w:spacing w:after="0" w:line="240" w:lineRule="auto"/>
        <w:ind w:left="0"/>
        <w:jc w:val="both"/>
        <w:rPr>
          <w:rFonts w:ascii="Cambria" w:hAnsi="Cambria" w:cs="Arial"/>
          <w:sz w:val="24"/>
          <w:szCs w:val="24"/>
        </w:rPr>
      </w:pPr>
    </w:p>
    <w:p w:rsidR="00FA516C" w:rsidRDefault="00FA516C" w:rsidP="00FA516C">
      <w:pPr>
        <w:pStyle w:val="ListParagraph1"/>
        <w:spacing w:after="0" w:line="240" w:lineRule="auto"/>
        <w:ind w:left="0"/>
        <w:jc w:val="both"/>
        <w:rPr>
          <w:rFonts w:ascii="Cambria" w:hAnsi="Cambria" w:cs="Arial"/>
          <w:b/>
          <w:sz w:val="24"/>
          <w:szCs w:val="24"/>
        </w:rPr>
      </w:pPr>
      <w:r w:rsidRPr="00E537C1">
        <w:rPr>
          <w:rFonts w:ascii="Cambria" w:hAnsi="Cambria" w:cs="Arial"/>
          <w:b/>
          <w:i/>
          <w:sz w:val="16"/>
          <w:szCs w:val="16"/>
        </w:rPr>
        <w:t xml:space="preserve">Tabel </w:t>
      </w:r>
      <w:r>
        <w:rPr>
          <w:rFonts w:ascii="Cambria" w:hAnsi="Cambria" w:cs="Arial"/>
          <w:b/>
          <w:i/>
          <w:sz w:val="16"/>
          <w:szCs w:val="16"/>
        </w:rPr>
        <w:t>2.</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fiecărui factor de vulnerabilitate în numărul total de rapoarte, actele legislative adoptate/retrase şi </w:t>
      </w:r>
      <w:r w:rsidRPr="006607BA">
        <w:rPr>
          <w:rFonts w:ascii="Cambria" w:hAnsi="Cambria" w:cs="Arial"/>
          <w:i/>
          <w:sz w:val="16"/>
          <w:szCs w:val="16"/>
        </w:rPr>
        <w:t>eficien</w:t>
      </w:r>
      <w:r>
        <w:rPr>
          <w:rFonts w:ascii="Cambria" w:hAnsi="Cambria" w:cs="Arial"/>
          <w:i/>
          <w:sz w:val="16"/>
          <w:szCs w:val="16"/>
        </w:rPr>
        <w:t>ţa obiecţiilor formulate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394"/>
        <w:gridCol w:w="1417"/>
        <w:gridCol w:w="1134"/>
        <w:gridCol w:w="1134"/>
        <w:gridCol w:w="958"/>
      </w:tblGrid>
      <w:tr w:rsidR="00FA516C" w:rsidRPr="0018462A" w:rsidTr="00FF1EF8">
        <w:tc>
          <w:tcPr>
            <w:tcW w:w="534" w:type="dxa"/>
            <w:shd w:val="clear" w:color="auto" w:fill="BFBFBF"/>
          </w:tcPr>
          <w:p w:rsidR="00FA516C" w:rsidRPr="0018462A" w:rsidRDefault="00FA516C" w:rsidP="00FF1EF8">
            <w:pPr>
              <w:pStyle w:val="ListParagraph1"/>
              <w:spacing w:after="0" w:line="240" w:lineRule="auto"/>
              <w:ind w:left="0"/>
              <w:jc w:val="center"/>
              <w:rPr>
                <w:rFonts w:ascii="Cambria" w:hAnsi="Cambria" w:cs="Arial"/>
                <w:sz w:val="16"/>
                <w:szCs w:val="16"/>
              </w:rPr>
            </w:pPr>
          </w:p>
        </w:tc>
        <w:tc>
          <w:tcPr>
            <w:tcW w:w="4394" w:type="dxa"/>
            <w:shd w:val="clear" w:color="auto" w:fill="BFBFBF"/>
          </w:tcPr>
          <w:p w:rsidR="00FA516C" w:rsidRPr="0018462A" w:rsidRDefault="00FA516C" w:rsidP="00FF1EF8">
            <w:pPr>
              <w:pStyle w:val="ListParagraph1"/>
              <w:spacing w:after="0" w:line="240" w:lineRule="auto"/>
              <w:ind w:left="0"/>
              <w:jc w:val="center"/>
              <w:rPr>
                <w:rFonts w:ascii="Cambria" w:hAnsi="Cambria" w:cs="Arial"/>
                <w:sz w:val="16"/>
                <w:szCs w:val="16"/>
              </w:rPr>
            </w:pPr>
            <w:r w:rsidRPr="0018462A">
              <w:rPr>
                <w:rFonts w:ascii="Cambria" w:hAnsi="Cambria" w:cs="Arial"/>
                <w:sz w:val="16"/>
                <w:szCs w:val="16"/>
              </w:rPr>
              <w:t>Denumirea elementului de vulnerabilitate</w:t>
            </w:r>
          </w:p>
        </w:tc>
        <w:tc>
          <w:tcPr>
            <w:tcW w:w="1417" w:type="dxa"/>
            <w:shd w:val="clear" w:color="auto" w:fill="BFBFBF"/>
          </w:tcPr>
          <w:p w:rsidR="00FA516C" w:rsidRPr="0018462A" w:rsidRDefault="00FA516C" w:rsidP="00FF1EF8">
            <w:pPr>
              <w:pStyle w:val="ListParagraph1"/>
              <w:spacing w:after="0" w:line="240" w:lineRule="auto"/>
              <w:ind w:left="0"/>
              <w:jc w:val="center"/>
              <w:rPr>
                <w:rFonts w:ascii="Cambria" w:hAnsi="Cambria" w:cs="Arial"/>
                <w:sz w:val="16"/>
                <w:szCs w:val="16"/>
              </w:rPr>
            </w:pPr>
            <w:r w:rsidRPr="0018462A">
              <w:rPr>
                <w:rFonts w:ascii="Cambria" w:hAnsi="Cambria" w:cs="Arial"/>
                <w:sz w:val="16"/>
                <w:szCs w:val="16"/>
              </w:rPr>
              <w:t>Numărul de elemente identificate în proiectele de legi expertizate  (77 proiecte)</w:t>
            </w:r>
          </w:p>
        </w:tc>
        <w:tc>
          <w:tcPr>
            <w:tcW w:w="1134" w:type="dxa"/>
            <w:shd w:val="clear" w:color="auto" w:fill="BFBFBF"/>
          </w:tcPr>
          <w:p w:rsidR="00FA516C" w:rsidRPr="0018462A" w:rsidRDefault="00FA516C" w:rsidP="00FF1EF8">
            <w:pPr>
              <w:pStyle w:val="ListParagraph1"/>
              <w:spacing w:after="0" w:line="240" w:lineRule="auto"/>
              <w:ind w:left="0"/>
              <w:jc w:val="center"/>
              <w:rPr>
                <w:rFonts w:ascii="Cambria" w:hAnsi="Cambria" w:cs="Arial"/>
                <w:sz w:val="16"/>
                <w:szCs w:val="16"/>
              </w:rPr>
            </w:pPr>
            <w:r w:rsidRPr="0018462A">
              <w:rPr>
                <w:rFonts w:ascii="Cambria" w:hAnsi="Cambria" w:cs="Arial"/>
                <w:sz w:val="16"/>
                <w:szCs w:val="16"/>
              </w:rPr>
              <w:t>Numărul elemente  identificate în legile adoptate/retrase (23 legi)</w:t>
            </w:r>
          </w:p>
        </w:tc>
        <w:tc>
          <w:tcPr>
            <w:tcW w:w="1134" w:type="dxa"/>
            <w:shd w:val="clear" w:color="auto" w:fill="BFBFBF"/>
          </w:tcPr>
          <w:p w:rsidR="00FA516C" w:rsidRPr="0018462A" w:rsidRDefault="00FA516C" w:rsidP="00FF1EF8">
            <w:pPr>
              <w:pStyle w:val="ListParagraph1"/>
              <w:spacing w:after="0" w:line="240" w:lineRule="auto"/>
              <w:ind w:left="0"/>
              <w:jc w:val="center"/>
              <w:rPr>
                <w:rFonts w:ascii="Cambria" w:hAnsi="Cambria" w:cs="Arial"/>
                <w:sz w:val="16"/>
                <w:szCs w:val="16"/>
              </w:rPr>
            </w:pPr>
            <w:r w:rsidRPr="0018462A">
              <w:rPr>
                <w:rFonts w:ascii="Cambria" w:hAnsi="Cambria" w:cs="Arial"/>
                <w:sz w:val="16"/>
                <w:szCs w:val="16"/>
              </w:rPr>
              <w:t>Numărul de obiecţii acceptate (eficienţa expertizei)</w:t>
            </w:r>
          </w:p>
        </w:tc>
        <w:tc>
          <w:tcPr>
            <w:tcW w:w="958" w:type="dxa"/>
            <w:shd w:val="clear" w:color="auto" w:fill="BFBFBF"/>
          </w:tcPr>
          <w:p w:rsidR="00FA516C" w:rsidRPr="0018462A" w:rsidRDefault="00FA516C" w:rsidP="00FF1EF8">
            <w:pPr>
              <w:pStyle w:val="ListParagraph1"/>
              <w:spacing w:after="0" w:line="240" w:lineRule="auto"/>
              <w:ind w:left="0"/>
              <w:jc w:val="center"/>
              <w:rPr>
                <w:rFonts w:ascii="Cambria" w:hAnsi="Cambria" w:cs="Arial"/>
                <w:sz w:val="16"/>
                <w:szCs w:val="16"/>
              </w:rPr>
            </w:pPr>
            <w:r w:rsidRPr="0018462A">
              <w:rPr>
                <w:rFonts w:ascii="Cambria" w:hAnsi="Cambria" w:cs="Arial"/>
                <w:sz w:val="16"/>
                <w:szCs w:val="16"/>
              </w:rPr>
              <w:t>% eficienţei</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care încalcă drepturile/libertăţile</w:t>
            </w:r>
          </w:p>
        </w:tc>
        <w:tc>
          <w:tcPr>
            <w:tcW w:w="1417" w:type="dxa"/>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sz w:val="20"/>
                <w:szCs w:val="20"/>
              </w:rPr>
              <w:t>88</w:t>
            </w:r>
          </w:p>
        </w:tc>
        <w:tc>
          <w:tcPr>
            <w:tcW w:w="1134" w:type="dxa"/>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sz w:val="20"/>
                <w:szCs w:val="20"/>
              </w:rPr>
              <w:t>27</w:t>
            </w:r>
          </w:p>
        </w:tc>
        <w:tc>
          <w:tcPr>
            <w:tcW w:w="1134" w:type="dxa"/>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sz w:val="20"/>
                <w:szCs w:val="20"/>
              </w:rPr>
              <w:t>8</w:t>
            </w:r>
          </w:p>
        </w:tc>
        <w:tc>
          <w:tcPr>
            <w:tcW w:w="958" w:type="dxa"/>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sz w:val="20"/>
                <w:szCs w:val="20"/>
              </w:rPr>
              <w:t>29,63%</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2.</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Omisiune/ignorare a drepturilor/libertăţilor</w:t>
            </w:r>
          </w:p>
        </w:tc>
        <w:tc>
          <w:tcPr>
            <w:tcW w:w="1417" w:type="dxa"/>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sz w:val="20"/>
                <w:szCs w:val="20"/>
              </w:rPr>
              <w:t>41</w:t>
            </w:r>
          </w:p>
        </w:tc>
        <w:tc>
          <w:tcPr>
            <w:tcW w:w="1134" w:type="dxa"/>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sz w:val="20"/>
                <w:szCs w:val="20"/>
              </w:rPr>
              <w:t>12</w:t>
            </w:r>
          </w:p>
        </w:tc>
        <w:tc>
          <w:tcPr>
            <w:tcW w:w="1134" w:type="dxa"/>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sz w:val="20"/>
                <w:szCs w:val="20"/>
              </w:rPr>
              <w:t>4</w:t>
            </w:r>
          </w:p>
        </w:tc>
        <w:tc>
          <w:tcPr>
            <w:tcW w:w="958" w:type="dxa"/>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sz w:val="20"/>
                <w:szCs w:val="20"/>
              </w:rPr>
              <w:t>33,33%</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3.</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Omisiune/ignorare a egalităţii gender</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1</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4.</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care stabilesc drepturi inegale pentru bărbaţi şi femei</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1</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5.</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care stabilesc obligaţii inegale pentru bărbaţi şi femei</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r>
      <w:tr w:rsidR="00FA516C" w:rsidRPr="006C7DD5"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6.</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necorespunzătoare jurisprudenţei CtEDO</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25</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13</w:t>
            </w:r>
          </w:p>
        </w:tc>
        <w:tc>
          <w:tcPr>
            <w:tcW w:w="1134"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6</w:t>
            </w:r>
          </w:p>
        </w:tc>
        <w:tc>
          <w:tcPr>
            <w:tcW w:w="958"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46,15%</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7.</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care limitează drepturile/libertăţile</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73</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22</w:t>
            </w:r>
          </w:p>
        </w:tc>
        <w:tc>
          <w:tcPr>
            <w:tcW w:w="1134"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8</w:t>
            </w:r>
          </w:p>
        </w:tc>
        <w:tc>
          <w:tcPr>
            <w:tcW w:w="958"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36,36%</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8.</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necorespunzătoare normelor constituţionale</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87</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34</w:t>
            </w:r>
          </w:p>
        </w:tc>
        <w:tc>
          <w:tcPr>
            <w:tcW w:w="1134"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15</w:t>
            </w:r>
          </w:p>
        </w:tc>
        <w:tc>
          <w:tcPr>
            <w:tcW w:w="958"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44,12%</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9.</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necorespunzătoare normelor din legislaţia corelativă</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243</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58</w:t>
            </w:r>
          </w:p>
        </w:tc>
        <w:tc>
          <w:tcPr>
            <w:tcW w:w="1134"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25</w:t>
            </w:r>
          </w:p>
        </w:tc>
        <w:tc>
          <w:tcPr>
            <w:tcW w:w="958"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43,1%</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10.</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necorespunzătoare standardelor internaţionale</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52</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23</w:t>
            </w:r>
          </w:p>
        </w:tc>
        <w:tc>
          <w:tcPr>
            <w:tcW w:w="1134"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9</w:t>
            </w:r>
          </w:p>
        </w:tc>
        <w:tc>
          <w:tcPr>
            <w:tcW w:w="958"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39,13%</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11.</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necorespunzătoare jurisprudenţei Curţii Constituţionale</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36</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16</w:t>
            </w:r>
          </w:p>
        </w:tc>
        <w:tc>
          <w:tcPr>
            <w:tcW w:w="1134"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8</w:t>
            </w:r>
          </w:p>
        </w:tc>
        <w:tc>
          <w:tcPr>
            <w:tcW w:w="958" w:type="dxa"/>
          </w:tcPr>
          <w:p w:rsidR="00FA516C" w:rsidRPr="00F461E2" w:rsidRDefault="00FA516C" w:rsidP="00FF1EF8">
            <w:pPr>
              <w:pStyle w:val="ListParagraph1"/>
              <w:spacing w:after="0" w:line="240" w:lineRule="auto"/>
              <w:ind w:left="0"/>
              <w:jc w:val="center"/>
              <w:rPr>
                <w:rFonts w:ascii="Cambria" w:hAnsi="Cambria" w:cs="Arial"/>
                <w:sz w:val="20"/>
                <w:szCs w:val="20"/>
              </w:rPr>
            </w:pPr>
            <w:r w:rsidRPr="00F461E2">
              <w:rPr>
                <w:rFonts w:ascii="Cambria" w:hAnsi="Cambria" w:cs="Arial"/>
                <w:sz w:val="20"/>
                <w:szCs w:val="20"/>
              </w:rPr>
              <w:t>50%</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12.</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care stabilesc responsabilitate inegală pentru bărbaţi şi feme</w:t>
            </w:r>
            <w:r>
              <w:rPr>
                <w:rFonts w:ascii="Cambria" w:hAnsi="Cambria" w:cs="Arial"/>
                <w:b/>
                <w:sz w:val="20"/>
                <w:szCs w:val="20"/>
              </w:rPr>
              <w:t>i</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13.</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care nu asigură şans</w:t>
            </w:r>
            <w:r>
              <w:rPr>
                <w:rFonts w:ascii="Cambria" w:hAnsi="Cambria" w:cs="Arial"/>
                <w:b/>
                <w:sz w:val="20"/>
                <w:szCs w:val="20"/>
              </w:rPr>
              <w:t>e egale pentru bărbaţi şi femei</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14.</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care nu asigură parteneriatul egal dintre bărbaţi şi femei;</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15.</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Rezultate (consecinţe) inegale pentru bărbaţi şi femei</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2</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0%</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16.</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Prevederi discriminatorii</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65</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22</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8</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36,36%</w:t>
            </w:r>
          </w:p>
        </w:tc>
      </w:tr>
      <w:tr w:rsidR="00FA516C" w:rsidRPr="0018462A" w:rsidTr="00FF1EF8">
        <w:tc>
          <w:tcPr>
            <w:tcW w:w="53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17.</w:t>
            </w:r>
          </w:p>
        </w:tc>
        <w:tc>
          <w:tcPr>
            <w:tcW w:w="4394" w:type="dxa"/>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Alte elemente</w:t>
            </w:r>
          </w:p>
        </w:tc>
        <w:tc>
          <w:tcPr>
            <w:tcW w:w="1417"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277</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124</w:t>
            </w:r>
          </w:p>
        </w:tc>
        <w:tc>
          <w:tcPr>
            <w:tcW w:w="1134"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54</w:t>
            </w:r>
          </w:p>
        </w:tc>
        <w:tc>
          <w:tcPr>
            <w:tcW w:w="958" w:type="dxa"/>
          </w:tcPr>
          <w:p w:rsidR="00FA516C" w:rsidRPr="0018462A" w:rsidRDefault="00FA516C" w:rsidP="00FF1EF8">
            <w:pPr>
              <w:pStyle w:val="ListParagraph1"/>
              <w:spacing w:after="0" w:line="240" w:lineRule="auto"/>
              <w:ind w:left="0"/>
              <w:jc w:val="center"/>
              <w:rPr>
                <w:rFonts w:ascii="Cambria" w:hAnsi="Cambria" w:cs="Arial"/>
                <w:sz w:val="20"/>
                <w:szCs w:val="20"/>
              </w:rPr>
            </w:pPr>
            <w:r w:rsidRPr="0018462A">
              <w:rPr>
                <w:rFonts w:ascii="Cambria" w:hAnsi="Cambria" w:cs="Arial"/>
                <w:sz w:val="20"/>
                <w:szCs w:val="20"/>
              </w:rPr>
              <w:t>43,55%</w:t>
            </w:r>
          </w:p>
        </w:tc>
      </w:tr>
      <w:tr w:rsidR="00FA516C" w:rsidRPr="0018462A" w:rsidTr="00FF1EF8">
        <w:tc>
          <w:tcPr>
            <w:tcW w:w="534" w:type="dxa"/>
            <w:shd w:val="clear" w:color="auto" w:fill="BFBFBF"/>
          </w:tcPr>
          <w:p w:rsidR="00FA516C" w:rsidRPr="0018462A" w:rsidRDefault="00FA516C" w:rsidP="00FF1EF8">
            <w:pPr>
              <w:pStyle w:val="ListParagraph1"/>
              <w:spacing w:after="0" w:line="240" w:lineRule="auto"/>
              <w:ind w:left="0"/>
              <w:jc w:val="both"/>
              <w:rPr>
                <w:rFonts w:ascii="Cambria" w:hAnsi="Cambria" w:cs="Arial"/>
                <w:b/>
                <w:sz w:val="20"/>
                <w:szCs w:val="20"/>
              </w:rPr>
            </w:pPr>
          </w:p>
        </w:tc>
        <w:tc>
          <w:tcPr>
            <w:tcW w:w="4394" w:type="dxa"/>
            <w:shd w:val="clear" w:color="auto" w:fill="BFBFBF"/>
          </w:tcPr>
          <w:p w:rsidR="00FA516C" w:rsidRPr="0018462A" w:rsidRDefault="00FA516C" w:rsidP="00FF1EF8">
            <w:pPr>
              <w:pStyle w:val="ListParagraph1"/>
              <w:spacing w:after="0" w:line="240" w:lineRule="auto"/>
              <w:ind w:left="0"/>
              <w:jc w:val="both"/>
              <w:rPr>
                <w:rFonts w:ascii="Cambria" w:hAnsi="Cambria" w:cs="Arial"/>
                <w:b/>
                <w:sz w:val="20"/>
                <w:szCs w:val="20"/>
              </w:rPr>
            </w:pPr>
            <w:r w:rsidRPr="0018462A">
              <w:rPr>
                <w:rFonts w:ascii="Cambria" w:hAnsi="Cambria" w:cs="Arial"/>
                <w:b/>
                <w:sz w:val="20"/>
                <w:szCs w:val="20"/>
              </w:rPr>
              <w:t>TOTAL</w:t>
            </w:r>
          </w:p>
        </w:tc>
        <w:tc>
          <w:tcPr>
            <w:tcW w:w="1417" w:type="dxa"/>
            <w:shd w:val="clear" w:color="auto" w:fill="BFBFBF"/>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b/>
                <w:sz w:val="20"/>
                <w:szCs w:val="20"/>
              </w:rPr>
              <w:t>991</w:t>
            </w:r>
          </w:p>
        </w:tc>
        <w:tc>
          <w:tcPr>
            <w:tcW w:w="1134" w:type="dxa"/>
            <w:shd w:val="clear" w:color="auto" w:fill="BFBFBF"/>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b/>
                <w:sz w:val="20"/>
                <w:szCs w:val="20"/>
              </w:rPr>
              <w:t>351</w:t>
            </w:r>
          </w:p>
        </w:tc>
        <w:tc>
          <w:tcPr>
            <w:tcW w:w="1134" w:type="dxa"/>
            <w:shd w:val="clear" w:color="auto" w:fill="BFBFBF"/>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b/>
                <w:sz w:val="20"/>
                <w:szCs w:val="20"/>
              </w:rPr>
              <w:t>145</w:t>
            </w:r>
          </w:p>
        </w:tc>
        <w:tc>
          <w:tcPr>
            <w:tcW w:w="958" w:type="dxa"/>
            <w:shd w:val="clear" w:color="auto" w:fill="BFBFBF"/>
          </w:tcPr>
          <w:p w:rsidR="00FA516C" w:rsidRPr="0018462A" w:rsidRDefault="00FA516C" w:rsidP="00FF1EF8">
            <w:pPr>
              <w:pStyle w:val="ListParagraph1"/>
              <w:spacing w:after="0" w:line="240" w:lineRule="auto"/>
              <w:ind w:left="0"/>
              <w:jc w:val="center"/>
              <w:rPr>
                <w:rFonts w:ascii="Cambria" w:hAnsi="Cambria" w:cs="Arial"/>
                <w:b/>
                <w:sz w:val="20"/>
                <w:szCs w:val="20"/>
              </w:rPr>
            </w:pPr>
            <w:r w:rsidRPr="0018462A">
              <w:rPr>
                <w:rFonts w:ascii="Cambria" w:hAnsi="Cambria" w:cs="Arial"/>
                <w:b/>
                <w:sz w:val="20"/>
                <w:szCs w:val="20"/>
              </w:rPr>
              <w:t>41,31%</w:t>
            </w: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Pr="006F7CAB" w:rsidRDefault="00FA516C" w:rsidP="00FA516C">
      <w:pPr>
        <w:pStyle w:val="ListParagraph1"/>
        <w:spacing w:after="0" w:line="240" w:lineRule="auto"/>
        <w:ind w:left="0"/>
        <w:jc w:val="both"/>
        <w:rPr>
          <w:rFonts w:ascii="Cambria" w:hAnsi="Cambria" w:cs="Arial"/>
          <w:sz w:val="24"/>
          <w:szCs w:val="24"/>
        </w:rPr>
      </w:pPr>
      <w:r w:rsidRPr="006F7CAB">
        <w:rPr>
          <w:rFonts w:ascii="Cambria" w:hAnsi="Cambria" w:cs="Arial"/>
          <w:sz w:val="24"/>
          <w:szCs w:val="24"/>
        </w:rPr>
        <w:t xml:space="preserve">Din </w:t>
      </w:r>
      <w:r>
        <w:rPr>
          <w:rFonts w:ascii="Cambria" w:hAnsi="Cambria" w:cs="Arial"/>
          <w:sz w:val="24"/>
          <w:szCs w:val="24"/>
        </w:rPr>
        <w:t xml:space="preserve">totalul de </w:t>
      </w:r>
      <w:r w:rsidRPr="006F7CAB">
        <w:rPr>
          <w:rFonts w:ascii="Cambria" w:hAnsi="Cambria" w:cs="Arial"/>
          <w:sz w:val="24"/>
          <w:szCs w:val="24"/>
        </w:rPr>
        <w:t xml:space="preserve">351 </w:t>
      </w:r>
      <w:r>
        <w:rPr>
          <w:rFonts w:ascii="Cambria" w:hAnsi="Cambria" w:cs="Arial"/>
          <w:sz w:val="24"/>
          <w:szCs w:val="24"/>
        </w:rPr>
        <w:t>obiecţii formulate în 23 de rapoarte de expertiză la proiectele de legi care au fost adoptate/retrase, Parlamentul a acceptat 145 de obiecţii, ceea ce reprezintă  41,31%. Din tabelul  de mai sus observăm că factorii de vulnerabilitate cu cele mai înalte rate de acceptare sunt:</w:t>
      </w:r>
      <w:r w:rsidRPr="002D270F">
        <w:rPr>
          <w:rFonts w:ascii="Cambria" w:hAnsi="Cambria" w:cs="Arial"/>
          <w:sz w:val="24"/>
          <w:szCs w:val="24"/>
        </w:rPr>
        <w:t xml:space="preserve"> </w:t>
      </w:r>
      <w:r>
        <w:rPr>
          <w:rFonts w:ascii="Cambria" w:hAnsi="Cambria" w:cs="Arial"/>
          <w:sz w:val="24"/>
          <w:szCs w:val="24"/>
        </w:rPr>
        <w:t xml:space="preserve"> p</w:t>
      </w:r>
      <w:r w:rsidRPr="002D270F">
        <w:rPr>
          <w:rFonts w:ascii="Cambria" w:hAnsi="Cambria" w:cs="Arial"/>
          <w:sz w:val="24"/>
          <w:szCs w:val="24"/>
        </w:rPr>
        <w:t xml:space="preserve">revederi necorespunzătoare jurisprudenţei Curţii Constituţionale – 50%; </w:t>
      </w:r>
      <w:r>
        <w:rPr>
          <w:rFonts w:ascii="Cambria" w:hAnsi="Cambria" w:cs="Arial"/>
          <w:sz w:val="24"/>
          <w:szCs w:val="24"/>
        </w:rPr>
        <w:t>p</w:t>
      </w:r>
      <w:r w:rsidRPr="002D270F">
        <w:rPr>
          <w:rFonts w:ascii="Cambria" w:hAnsi="Cambria" w:cs="Arial"/>
          <w:sz w:val="24"/>
          <w:szCs w:val="24"/>
        </w:rPr>
        <w:t xml:space="preserve">revederi necorespunzătoare jurisprudenţei CtEDO – 46,15%; </w:t>
      </w:r>
      <w:r>
        <w:rPr>
          <w:rFonts w:ascii="Cambria" w:hAnsi="Cambria" w:cs="Arial"/>
          <w:sz w:val="24"/>
          <w:szCs w:val="24"/>
        </w:rPr>
        <w:t>p</w:t>
      </w:r>
      <w:r w:rsidRPr="002D270F">
        <w:rPr>
          <w:rFonts w:ascii="Cambria" w:hAnsi="Cambria" w:cs="Arial"/>
          <w:sz w:val="24"/>
          <w:szCs w:val="24"/>
        </w:rPr>
        <w:t>revederi necorespunzătoare normelor constituţionale – 44,12%.</w:t>
      </w:r>
      <w:r>
        <w:rPr>
          <w:rFonts w:ascii="Cambria" w:hAnsi="Cambria" w:cs="Arial"/>
          <w:sz w:val="24"/>
          <w:szCs w:val="24"/>
        </w:rPr>
        <w:t xml:space="preserve"> Cea mai mică rată de acceptare s-a înregistrat la p</w:t>
      </w:r>
      <w:r w:rsidRPr="00F365A2">
        <w:rPr>
          <w:rFonts w:ascii="Cambria" w:hAnsi="Cambria" w:cs="Arial"/>
          <w:sz w:val="24"/>
          <w:szCs w:val="24"/>
        </w:rPr>
        <w:t>revederi care încalcă drepturile/libertăţile</w:t>
      </w:r>
      <w:r>
        <w:rPr>
          <w:rFonts w:ascii="Cambria" w:hAnsi="Cambria" w:cs="Arial"/>
          <w:sz w:val="24"/>
          <w:szCs w:val="24"/>
        </w:rPr>
        <w:t xml:space="preserve"> şi este de 29,63%.</w:t>
      </w:r>
    </w:p>
    <w:p w:rsidR="00FA516C" w:rsidRPr="00584A10" w:rsidRDefault="00FA516C" w:rsidP="007139C9">
      <w:pPr>
        <w:pStyle w:val="Heading1"/>
        <w:rPr>
          <w:lang w:val="en-US"/>
        </w:rPr>
      </w:pPr>
      <w:bookmarkStart w:id="28" w:name="_Toc409790635"/>
      <w:r w:rsidRPr="00584A10">
        <w:rPr>
          <w:lang w:val="en-US"/>
        </w:rPr>
        <w:t>IV.2 Prevederi care încalcă drepturile/libertăţile</w:t>
      </w:r>
      <w:bookmarkEnd w:id="28"/>
    </w:p>
    <w:p w:rsidR="00FA516C" w:rsidRDefault="00FA516C" w:rsidP="00FA516C">
      <w:pPr>
        <w:pStyle w:val="ListParagraph1"/>
        <w:spacing w:after="0" w:line="240" w:lineRule="auto"/>
        <w:ind w:left="0"/>
        <w:jc w:val="both"/>
        <w:rPr>
          <w:rFonts w:ascii="Cambria" w:hAnsi="Cambria" w:cs="Arial"/>
          <w:b/>
          <w:sz w:val="24"/>
          <w:szCs w:val="24"/>
        </w:rPr>
      </w:pPr>
    </w:p>
    <w:p w:rsidR="00FA516C" w:rsidRPr="00DE4125" w:rsidRDefault="00FA516C" w:rsidP="00FA516C">
      <w:pPr>
        <w:pStyle w:val="ListParagraph1"/>
        <w:spacing w:after="0" w:line="240" w:lineRule="auto"/>
        <w:ind w:left="0"/>
        <w:jc w:val="both"/>
        <w:rPr>
          <w:rFonts w:ascii="Cambria" w:hAnsi="Cambria" w:cs="Arial"/>
          <w:sz w:val="24"/>
          <w:szCs w:val="24"/>
        </w:rPr>
      </w:pPr>
      <w:r w:rsidRPr="00DE4125">
        <w:rPr>
          <w:rFonts w:ascii="Cambria" w:hAnsi="Cambria" w:cs="Arial"/>
          <w:i/>
          <w:sz w:val="24"/>
          <w:szCs w:val="24"/>
        </w:rPr>
        <w:t>Prevederi care încalcă drepturile/libertăţile</w:t>
      </w:r>
      <w:r>
        <w:rPr>
          <w:rFonts w:ascii="Cambria" w:hAnsi="Cambria" w:cs="Arial"/>
          <w:sz w:val="24"/>
          <w:szCs w:val="24"/>
        </w:rPr>
        <w:t xml:space="preserve"> sunt normele din proiectele de acte normative, care în cazul adoptării acestora, sunt de natură să încalce sau vor încălca drepturile şi/sau libertăţile prevăzute de Constituţia Republicii Moldova sau tratatele internaţionale la care este parte Republica Moldova. </w:t>
      </w:r>
    </w:p>
    <w:p w:rsidR="00FA516C" w:rsidRDefault="00FA516C" w:rsidP="00FA516C">
      <w:pPr>
        <w:pStyle w:val="ListParagraph1"/>
        <w:spacing w:after="0" w:line="240" w:lineRule="auto"/>
        <w:ind w:left="0"/>
        <w:jc w:val="both"/>
        <w:rPr>
          <w:rFonts w:ascii="Cambria" w:hAnsi="Cambria" w:cs="Arial"/>
          <w:b/>
          <w:sz w:val="24"/>
          <w:szCs w:val="24"/>
        </w:rPr>
      </w:pPr>
    </w:p>
    <w:p w:rsidR="00FA516C" w:rsidRPr="00EE742B" w:rsidRDefault="00FA516C" w:rsidP="00FA516C">
      <w:pPr>
        <w:pStyle w:val="ListParagraph1"/>
        <w:spacing w:after="0" w:line="240" w:lineRule="auto"/>
        <w:ind w:left="0"/>
        <w:jc w:val="both"/>
        <w:rPr>
          <w:rFonts w:ascii="Cambria" w:hAnsi="Cambria" w:cs="Arial"/>
          <w:sz w:val="24"/>
          <w:szCs w:val="24"/>
        </w:rPr>
      </w:pPr>
      <w:r w:rsidRPr="00EE742B">
        <w:rPr>
          <w:rFonts w:ascii="Cambria" w:hAnsi="Cambria" w:cs="Arial"/>
          <w:sz w:val="24"/>
          <w:szCs w:val="24"/>
        </w:rPr>
        <w:t>Pericolul acestui element</w:t>
      </w:r>
      <w:r>
        <w:rPr>
          <w:rFonts w:ascii="Cambria" w:hAnsi="Cambria" w:cs="Arial"/>
          <w:sz w:val="24"/>
          <w:szCs w:val="24"/>
        </w:rPr>
        <w:t xml:space="preserve"> constă în deturnarea conceptului de protecţie prin autoritatea legii a drepturilor şi libertăţilor omului.</w:t>
      </w:r>
    </w:p>
    <w:p w:rsidR="00FA516C" w:rsidRDefault="00FA516C" w:rsidP="00FA516C">
      <w:pPr>
        <w:pStyle w:val="ListParagraph1"/>
        <w:spacing w:after="0" w:line="240" w:lineRule="auto"/>
        <w:ind w:left="0"/>
        <w:jc w:val="both"/>
        <w:rPr>
          <w:rFonts w:ascii="Cambria" w:hAnsi="Cambria" w:cs="Arial"/>
          <w:b/>
          <w:sz w:val="24"/>
          <w:szCs w:val="24"/>
        </w:rPr>
      </w:pPr>
    </w:p>
    <w:p w:rsidR="00FA516C" w:rsidRPr="004E6A77" w:rsidRDefault="00FA516C" w:rsidP="00FA516C">
      <w:pPr>
        <w:pStyle w:val="ListParagraph1"/>
        <w:spacing w:after="0" w:line="240" w:lineRule="auto"/>
        <w:ind w:left="0"/>
        <w:jc w:val="both"/>
        <w:rPr>
          <w:rFonts w:ascii="Cambria" w:hAnsi="Cambria" w:cs="Arial"/>
          <w:sz w:val="24"/>
          <w:szCs w:val="24"/>
        </w:rPr>
      </w:pPr>
      <w:r w:rsidRPr="0032764F">
        <w:rPr>
          <w:rFonts w:ascii="Cambria" w:hAnsi="Cambria" w:cs="Arial"/>
          <w:sz w:val="24"/>
          <w:szCs w:val="24"/>
        </w:rPr>
        <w:t>Situaţia pe domenii privind ponderea  prevederilor care încalcă drepturile/libertăţile şi eficienţa obiecţiilor formulate de CAPC poate fi vizualizată în Tabelul 2.</w:t>
      </w:r>
    </w:p>
    <w:p w:rsidR="00FA516C" w:rsidRDefault="00FA516C" w:rsidP="00FA516C">
      <w:pPr>
        <w:pStyle w:val="ListParagraph1"/>
        <w:spacing w:after="0" w:line="240" w:lineRule="auto"/>
        <w:ind w:left="0"/>
        <w:rPr>
          <w:rFonts w:ascii="Cambria" w:hAnsi="Cambria" w:cs="Arial"/>
          <w:b/>
          <w:sz w:val="24"/>
          <w:szCs w:val="24"/>
        </w:rPr>
      </w:pPr>
    </w:p>
    <w:p w:rsidR="00FA516C" w:rsidRPr="006607BA" w:rsidRDefault="00FA516C" w:rsidP="00FA516C">
      <w:pPr>
        <w:pStyle w:val="ListParagraph1"/>
        <w:spacing w:after="0" w:line="240" w:lineRule="auto"/>
        <w:ind w:left="0"/>
        <w:jc w:val="both"/>
        <w:rPr>
          <w:rFonts w:ascii="Cambria" w:hAnsi="Cambria" w:cs="Arial"/>
          <w:b/>
          <w:sz w:val="24"/>
          <w:szCs w:val="24"/>
        </w:rPr>
      </w:pPr>
      <w:r w:rsidRPr="00E537C1">
        <w:rPr>
          <w:rFonts w:ascii="Cambria" w:hAnsi="Cambria" w:cs="Arial"/>
          <w:b/>
          <w:i/>
          <w:sz w:val="16"/>
          <w:szCs w:val="16"/>
        </w:rPr>
        <w:t xml:space="preserve">Tabel </w:t>
      </w:r>
      <w:r>
        <w:rPr>
          <w:rFonts w:ascii="Cambria" w:hAnsi="Cambria" w:cs="Arial"/>
          <w:b/>
          <w:i/>
          <w:sz w:val="16"/>
          <w:szCs w:val="16"/>
        </w:rPr>
        <w:t>2.</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care încalcă drepturile/libertăţile </w:t>
      </w:r>
      <w:r>
        <w:rPr>
          <w:rFonts w:ascii="Cambria" w:hAnsi="Cambria" w:cs="Arial"/>
          <w:i/>
          <w:sz w:val="16"/>
          <w:szCs w:val="16"/>
        </w:rPr>
        <w:t>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815"/>
        <w:gridCol w:w="1088"/>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Justiţie şi afaceri interne, drepturile şi libertăţile omului</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49</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8</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3</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37,5%</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16</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3</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75%</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9</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7</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28,57%</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Legislaţia muncii, asigurarea socială şi ocrotirea sănătăţii</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10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încalcă drepturile/libertăţile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sidRPr="001A46DF">
              <w:rPr>
                <w:rFonts w:ascii="Cambria" w:hAnsi="Cambria" w:cs="Arial"/>
                <w:sz w:val="24"/>
                <w:szCs w:val="24"/>
              </w:rPr>
              <w:t>0%</w:t>
            </w:r>
          </w:p>
        </w:tc>
      </w:tr>
    </w:tbl>
    <w:p w:rsidR="00FA516C" w:rsidRDefault="00FA516C" w:rsidP="00FA516C">
      <w:pPr>
        <w:pStyle w:val="ListParagraph1"/>
        <w:spacing w:after="0" w:line="240" w:lineRule="auto"/>
        <w:ind w:left="0"/>
        <w:jc w:val="both"/>
        <w:rPr>
          <w:rFonts w:ascii="Cambria" w:hAnsi="Cambria" w:cs="Arial"/>
          <w:sz w:val="24"/>
          <w:szCs w:val="24"/>
        </w:rPr>
      </w:pPr>
    </w:p>
    <w:p w:rsidR="00FA516C" w:rsidRDefault="00FA516C" w:rsidP="00FA516C">
      <w:pPr>
        <w:pStyle w:val="ListParagraph1"/>
        <w:spacing w:after="0" w:line="240" w:lineRule="auto"/>
        <w:ind w:left="0"/>
        <w:jc w:val="both"/>
        <w:rPr>
          <w:rFonts w:ascii="Cambria" w:hAnsi="Cambria" w:cs="Arial"/>
          <w:sz w:val="24"/>
          <w:szCs w:val="24"/>
        </w:rPr>
      </w:pPr>
    </w:p>
    <w:p w:rsidR="00FA516C" w:rsidRDefault="00FA516C" w:rsidP="00FA516C">
      <w:pPr>
        <w:shd w:val="clear" w:color="auto" w:fill="B8CCE4"/>
        <w:rPr>
          <w:rFonts w:ascii="Cambria" w:hAnsi="Cambria"/>
          <w:lang w:val="ro-RO"/>
        </w:rPr>
      </w:pPr>
      <w:r w:rsidRPr="00627002">
        <w:rPr>
          <w:rFonts w:ascii="Cambria" w:hAnsi="Cambria" w:cs="Arial"/>
          <w:b/>
          <w:i/>
          <w:sz w:val="24"/>
          <w:szCs w:val="24"/>
          <w:lang w:val="ro-RO"/>
        </w:rPr>
        <w:t>Exemplu:</w:t>
      </w:r>
      <w:r w:rsidRPr="00E759E7">
        <w:rPr>
          <w:rFonts w:ascii="Cambria" w:hAnsi="Cambria" w:cs="Arial"/>
          <w:sz w:val="24"/>
          <w:szCs w:val="24"/>
          <w:lang w:val="ro-RO"/>
        </w:rPr>
        <w:t xml:space="preserve"> </w:t>
      </w:r>
      <w:r>
        <w:rPr>
          <w:rFonts w:ascii="Cambria" w:hAnsi="Cambria"/>
          <w:lang w:val="ro-RO"/>
        </w:rPr>
        <w:t>Legea nr.</w:t>
      </w:r>
      <w:r w:rsidRPr="00E759E7">
        <w:rPr>
          <w:rFonts w:ascii="Cambria" w:hAnsi="Cambria"/>
          <w:lang w:val="ro-RO"/>
        </w:rPr>
        <w:t xml:space="preserve">232  din  11.10.2013 pentru modificarea şi completarea unor acte legislative </w:t>
      </w:r>
      <w:r>
        <w:rPr>
          <w:rFonts w:ascii="Cambria" w:hAnsi="Cambria"/>
          <w:lang w:val="ro-RO"/>
        </w:rPr>
        <w:t>(</w:t>
      </w:r>
      <w:r w:rsidRPr="00E759E7">
        <w:rPr>
          <w:rFonts w:ascii="Cambria" w:hAnsi="Cambria"/>
          <w:lang w:val="ro-RO"/>
        </w:rPr>
        <w:t>Codul contravenţional al Republicii Moldova nr.218-XVI din 24 octombrie 2008; Legea nr.200 din 16 iulie 2010 privind regimul străinilor în Republica Moldova</w:t>
      </w:r>
      <w:r>
        <w:rPr>
          <w:rFonts w:ascii="Cambria" w:hAnsi="Cambria"/>
          <w:lang w:val="ro-RO"/>
        </w:rPr>
        <w:t>)</w:t>
      </w:r>
      <w:r w:rsidRPr="00E759E7">
        <w:rPr>
          <w:rFonts w:ascii="Cambria" w:hAnsi="Cambria"/>
          <w:lang w:val="ro-RO"/>
        </w:rPr>
        <w:t xml:space="preserve"> </w:t>
      </w:r>
    </w:p>
    <w:p w:rsidR="00FA516C" w:rsidRPr="00E759E7" w:rsidRDefault="00FA516C" w:rsidP="00FA516C">
      <w:pPr>
        <w:rPr>
          <w:rFonts w:ascii="Cambria" w:hAnsi="Cambria"/>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7139C9" w:rsidTr="00FF1EF8">
        <w:tc>
          <w:tcPr>
            <w:tcW w:w="9571" w:type="dxa"/>
            <w:tcBorders>
              <w:left w:val="single" w:sz="4" w:space="0" w:color="F2F2F2"/>
              <w:right w:val="single" w:sz="4" w:space="0" w:color="F2F2F2"/>
            </w:tcBorders>
          </w:tcPr>
          <w:p w:rsidR="00FA516C" w:rsidRPr="00FA516C" w:rsidRDefault="00FA516C" w:rsidP="00FF1EF8">
            <w:pPr>
              <w:pStyle w:val="NoSpacing"/>
              <w:rPr>
                <w:rFonts w:ascii="Cambria" w:hAnsi="Cambria"/>
                <w:b/>
                <w:i/>
                <w:sz w:val="20"/>
                <w:szCs w:val="20"/>
                <w:lang w:val="en-US"/>
              </w:rPr>
            </w:pPr>
          </w:p>
          <w:p w:rsidR="00FA516C" w:rsidRPr="00A92093" w:rsidRDefault="00FA516C" w:rsidP="00FF1EF8">
            <w:pPr>
              <w:pStyle w:val="NoSpacing"/>
              <w:rPr>
                <w:rFonts w:ascii="Cambria" w:hAnsi="Cambria"/>
                <w:sz w:val="20"/>
                <w:szCs w:val="20"/>
                <w:lang w:val="ro-RO"/>
              </w:rPr>
            </w:pPr>
            <w:r w:rsidRPr="00A92093">
              <w:rPr>
                <w:rFonts w:ascii="Cambria" w:hAnsi="Cambria"/>
                <w:b/>
                <w:i/>
                <w:sz w:val="20"/>
                <w:szCs w:val="20"/>
                <w:lang w:val="fr-FR"/>
              </w:rPr>
              <w:t>Textul proiectului:</w:t>
            </w:r>
            <w:r w:rsidRPr="00A92093">
              <w:rPr>
                <w:rFonts w:ascii="Cambria" w:hAnsi="Cambria"/>
                <w:sz w:val="20"/>
                <w:szCs w:val="20"/>
                <w:lang w:val="ro-RO"/>
              </w:rPr>
              <w:t xml:space="preserve"> </w:t>
            </w:r>
            <w:r w:rsidRPr="00A92093">
              <w:rPr>
                <w:rFonts w:ascii="Cambria" w:hAnsi="Cambria"/>
                <w:lang w:val="ro-RO"/>
              </w:rPr>
              <w:t xml:space="preserve"> </w:t>
            </w:r>
            <w:r w:rsidRPr="00A92093">
              <w:rPr>
                <w:rFonts w:ascii="Cambria" w:hAnsi="Cambria"/>
                <w:sz w:val="20"/>
                <w:szCs w:val="20"/>
                <w:lang w:val="ro-RO"/>
              </w:rPr>
              <w:t>Articolul 333 va avea următorul cuprins:</w:t>
            </w:r>
          </w:p>
          <w:p w:rsidR="00FA516C" w:rsidRPr="00A92093" w:rsidRDefault="00FA516C" w:rsidP="00FF1EF8">
            <w:pPr>
              <w:pStyle w:val="NoSpacing"/>
              <w:ind w:left="1701"/>
              <w:rPr>
                <w:rFonts w:ascii="Cambria" w:hAnsi="Cambria"/>
                <w:sz w:val="20"/>
                <w:szCs w:val="20"/>
                <w:lang w:val="ro-RO"/>
              </w:rPr>
            </w:pPr>
            <w:r w:rsidRPr="00A92093">
              <w:rPr>
                <w:rFonts w:ascii="Cambria" w:hAnsi="Cambria"/>
                <w:sz w:val="20"/>
                <w:szCs w:val="20"/>
                <w:lang w:val="ro-RO"/>
              </w:rPr>
              <w:t>"Articolul 333. Încălcarea regulilor de şedere în Republica Moldova</w:t>
            </w:r>
          </w:p>
          <w:p w:rsidR="00FA516C" w:rsidRPr="00A92093" w:rsidRDefault="00FA516C" w:rsidP="00FF1EF8">
            <w:pPr>
              <w:pStyle w:val="NoSpacing"/>
              <w:ind w:left="1701"/>
              <w:rPr>
                <w:rFonts w:ascii="Cambria" w:hAnsi="Cambria"/>
                <w:sz w:val="20"/>
                <w:szCs w:val="20"/>
                <w:lang w:val="ro-RO"/>
              </w:rPr>
            </w:pPr>
            <w:r w:rsidRPr="00A92093">
              <w:rPr>
                <w:rFonts w:ascii="Cambria" w:hAnsi="Cambria"/>
                <w:sz w:val="20"/>
                <w:szCs w:val="20"/>
                <w:lang w:val="ro-RO"/>
              </w:rPr>
              <w:t>...</w:t>
            </w:r>
          </w:p>
          <w:p w:rsidR="00FA516C" w:rsidRDefault="00FA516C" w:rsidP="00FF1EF8">
            <w:pPr>
              <w:pStyle w:val="NoSpacing"/>
              <w:ind w:left="1701"/>
              <w:rPr>
                <w:rFonts w:ascii="Cambria" w:hAnsi="Cambria"/>
                <w:sz w:val="20"/>
                <w:szCs w:val="20"/>
                <w:lang w:val="ro-RO"/>
              </w:rPr>
            </w:pPr>
            <w:r w:rsidRPr="00A92093">
              <w:rPr>
                <w:rFonts w:ascii="Cambria" w:hAnsi="Cambria"/>
                <w:sz w:val="20"/>
                <w:szCs w:val="20"/>
                <w:lang w:val="ro-RO"/>
              </w:rPr>
              <w:t xml:space="preserve">(4) Nedeclararea de către cetăţenii străini şi apatrizi la autorităţile competente în termenul stabilit de legislaţie despre faptul intrării pe teritoriul Republicii Moldova </w:t>
            </w:r>
            <w:r w:rsidRPr="00E93AE5">
              <w:rPr>
                <w:rFonts w:ascii="Cambria" w:hAnsi="Cambria"/>
                <w:b/>
                <w:i/>
                <w:sz w:val="20"/>
                <w:szCs w:val="20"/>
                <w:lang w:val="ro-RO"/>
              </w:rPr>
              <w:t>prin segmentul de frontieră moldo-ucraineană necontrolat de autorităţile moldoveneşti</w:t>
            </w:r>
            <w:r w:rsidRPr="00E93AE5">
              <w:rPr>
                <w:rFonts w:ascii="Cambria" w:hAnsi="Cambria"/>
                <w:b/>
                <w:sz w:val="20"/>
                <w:szCs w:val="20"/>
                <w:lang w:val="ro-RO"/>
              </w:rPr>
              <w:t xml:space="preserve"> </w:t>
            </w:r>
            <w:r w:rsidRPr="00A92093">
              <w:rPr>
                <w:rFonts w:ascii="Cambria" w:hAnsi="Cambria"/>
                <w:sz w:val="20"/>
                <w:szCs w:val="20"/>
                <w:lang w:val="ro-RO"/>
              </w:rPr>
              <w:t>se sancţionează cu amendă în mărime de la 10 la 20 de unităţi convenţionale.</w:t>
            </w:r>
          </w:p>
          <w:p w:rsidR="00FA516C" w:rsidRPr="00A92093" w:rsidRDefault="00FA516C" w:rsidP="00FF1EF8">
            <w:pPr>
              <w:pStyle w:val="NoSpacing"/>
              <w:ind w:left="1701"/>
              <w:rPr>
                <w:rFonts w:ascii="Cambria" w:hAnsi="Cambria"/>
                <w:sz w:val="16"/>
                <w:szCs w:val="16"/>
                <w:lang w:val="ro-RO"/>
              </w:rPr>
            </w:pPr>
          </w:p>
        </w:tc>
      </w:tr>
      <w:tr w:rsidR="00FA516C" w:rsidRPr="00A92093" w:rsidTr="00FF1EF8">
        <w:tc>
          <w:tcPr>
            <w:tcW w:w="9571" w:type="dxa"/>
            <w:tcBorders>
              <w:left w:val="single" w:sz="4" w:space="0" w:color="F2F2F2"/>
              <w:right w:val="single" w:sz="4" w:space="0" w:color="F2F2F2"/>
            </w:tcBorders>
          </w:tcPr>
          <w:p w:rsidR="00FA516C" w:rsidRDefault="00FA516C" w:rsidP="00FF1EF8">
            <w:pPr>
              <w:jc w:val="left"/>
              <w:rPr>
                <w:rFonts w:ascii="Cambria" w:hAnsi="Cambria" w:cs="Arial"/>
                <w:b/>
                <w:i/>
                <w:sz w:val="20"/>
                <w:szCs w:val="20"/>
                <w:lang w:val="ro-RO"/>
              </w:rPr>
            </w:pPr>
          </w:p>
          <w:p w:rsidR="00FA516C" w:rsidRPr="00A92093" w:rsidRDefault="00FA516C" w:rsidP="00FF1EF8">
            <w:pPr>
              <w:jc w:val="left"/>
              <w:rPr>
                <w:rFonts w:ascii="Cambria" w:eastAsia="Times New Roman" w:hAnsi="Cambria"/>
                <w:sz w:val="24"/>
                <w:szCs w:val="24"/>
                <w:lang w:val="ro-RO" w:eastAsia="ru-RU"/>
              </w:rPr>
            </w:pPr>
            <w:r w:rsidRPr="00A92093">
              <w:rPr>
                <w:rFonts w:ascii="Cambria" w:hAnsi="Cambria" w:cs="Arial"/>
                <w:b/>
                <w:i/>
                <w:sz w:val="20"/>
                <w:szCs w:val="20"/>
                <w:lang w:val="ro-RO"/>
              </w:rPr>
              <w:t>Elementul de vulnerabilitate identificat şi recomandarea expertului:</w:t>
            </w:r>
            <w:r w:rsidRPr="00A92093">
              <w:rPr>
                <w:rFonts w:ascii="Cambria" w:hAnsi="Cambria" w:cs="Arial"/>
                <w:b/>
                <w:sz w:val="16"/>
                <w:szCs w:val="16"/>
                <w:lang w:val="ro-RO"/>
              </w:rPr>
              <w:t xml:space="preserve"> </w:t>
            </w:r>
            <w:r w:rsidRPr="00A92093">
              <w:rPr>
                <w:rFonts w:ascii="Cambria" w:eastAsia="Times New Roman" w:hAnsi="Cambria" w:cs="Arial"/>
                <w:sz w:val="20"/>
                <w:szCs w:val="20"/>
                <w:u w:val="single"/>
                <w:lang w:val="ro-RO"/>
              </w:rPr>
              <w:t>prevederi care încalcă drepturile/libertăţile;</w:t>
            </w:r>
            <w:r w:rsidRPr="00A92093">
              <w:rPr>
                <w:rFonts w:ascii="Cambria" w:eastAsia="Times New Roman" w:hAnsi="Cambria" w:cs="Arial"/>
                <w:sz w:val="20"/>
                <w:szCs w:val="20"/>
                <w:lang w:val="ro-RO"/>
              </w:rPr>
              <w:t xml:space="preserve"> prevederi discriminatorii; prevederi care limitează drepturile/libertăţile; prevederi necorespunzătoare standardelor internaţionale; prevederi necorespunzătoare jurisprudenţei CtEDO; prevederi necorespunzătoare normelor constituţionale; prevederi necorespunzătoare normelor din legislaţia corelativă.</w:t>
            </w:r>
          </w:p>
          <w:p w:rsidR="00FA516C" w:rsidRPr="00A92093" w:rsidRDefault="00FA516C" w:rsidP="00FF1EF8">
            <w:pPr>
              <w:spacing w:before="100" w:beforeAutospacing="1" w:after="100" w:afterAutospacing="1"/>
              <w:rPr>
                <w:rFonts w:ascii="Cambria" w:eastAsia="Times New Roman" w:hAnsi="Cambria" w:cs="Arial"/>
                <w:sz w:val="20"/>
                <w:szCs w:val="20"/>
                <w:lang w:val="ro-RO"/>
              </w:rPr>
            </w:pPr>
            <w:r w:rsidRPr="00A92093">
              <w:rPr>
                <w:rFonts w:ascii="Cambria" w:eastAsia="Times New Roman" w:hAnsi="Cambria" w:cs="Arial"/>
                <w:b/>
                <w:i/>
                <w:sz w:val="20"/>
                <w:szCs w:val="20"/>
                <w:lang w:val="ro-RO"/>
              </w:rPr>
              <w:t xml:space="preserve">Obiecţia expertului: </w:t>
            </w:r>
            <w:r w:rsidRPr="00A92093">
              <w:rPr>
                <w:rFonts w:ascii="Cambria" w:eastAsia="Times New Roman" w:hAnsi="Cambria" w:cs="Arial"/>
                <w:sz w:val="20"/>
                <w:szCs w:val="20"/>
                <w:lang w:val="ro-RO"/>
              </w:rPr>
              <w:t>Aceste prevederi stabilesc o obligaţie discriminatorie pentru cetăţenii străini prin care li se încalcă dreptul la libera circulaţie, or, nici un act normativ în vigoare nu stabileşte obligaţia de a informa careva autorităţi publice despre faptul intrării pe teritoriul Republicii Moldova prin segmentul de frontieră moldo-ucraineană sau o interdicţie de a traversa această frontieră. Intrarea pe teritoriul Republicii Moldova se supune controlului de stat şi se face printr-un punct de trecere al frontierei, care, conform noţiunii cuprinse în art.3 din Legea cu privire la frontiera de stat a Republicii Moldova nr.215 din 04.11.2011, reprezintă un loc organizat şi autorizat de Guvernul Republicii Moldova pentru trecerea frontierei de stat. Faptul că autorităţile moldoveneşti nu controlează în întregime frontiera, RM nu poate impune unor persoane asemenea obligaţii, ce constituie, în sine, ingerinţe în drepturile consacrate ale omului. ……sancţionarea străinilor pentru neîndeplinirea obligaţiei sus-menţionate reprezintă şi o restricţionare a libertăţii de circulaţie a acestora, care se prezumă că nu ar trebui să traverseze partea de frontieră moldo-ucraineană. O asemenea abordare este contrară scopului acestui proiect de lege ….</w:t>
            </w:r>
          </w:p>
          <w:p w:rsidR="00FA516C" w:rsidRDefault="00FA516C" w:rsidP="00FF1EF8">
            <w:pPr>
              <w:pStyle w:val="ListParagraph1"/>
              <w:spacing w:after="0" w:line="240" w:lineRule="auto"/>
              <w:ind w:left="0"/>
              <w:jc w:val="both"/>
              <w:rPr>
                <w:rFonts w:ascii="Cambria" w:hAnsi="Cambria" w:cs="Arial"/>
                <w:sz w:val="20"/>
                <w:szCs w:val="20"/>
              </w:rPr>
            </w:pPr>
            <w:r w:rsidRPr="00A92093">
              <w:rPr>
                <w:rFonts w:ascii="Cambria" w:hAnsi="Cambria" w:cs="Arial"/>
                <w:b/>
                <w:i/>
                <w:sz w:val="20"/>
                <w:szCs w:val="20"/>
              </w:rPr>
              <w:t>Recomandarea:</w:t>
            </w:r>
            <w:r w:rsidRPr="00A92093">
              <w:rPr>
                <w:rFonts w:ascii="Cambria" w:hAnsi="Cambria"/>
              </w:rPr>
              <w:t xml:space="preserve"> </w:t>
            </w:r>
            <w:r w:rsidRPr="00A92093">
              <w:rPr>
                <w:rFonts w:ascii="Cambria" w:hAnsi="Cambria" w:cs="Arial"/>
                <w:sz w:val="20"/>
                <w:szCs w:val="20"/>
              </w:rPr>
              <w:t>Este necesară revizuirea normei date prin prisma obiecţiilor formulate.</w:t>
            </w:r>
          </w:p>
          <w:p w:rsidR="00FA516C" w:rsidRPr="00A92093" w:rsidRDefault="00FA516C" w:rsidP="00FF1EF8">
            <w:pPr>
              <w:pStyle w:val="ListParagraph1"/>
              <w:spacing w:after="0" w:line="240" w:lineRule="auto"/>
              <w:ind w:left="0"/>
              <w:jc w:val="both"/>
              <w:rPr>
                <w:rFonts w:ascii="Cambria" w:hAnsi="Cambria" w:cs="Arial"/>
                <w:sz w:val="20"/>
                <w:szCs w:val="20"/>
              </w:rPr>
            </w:pPr>
          </w:p>
        </w:tc>
      </w:tr>
      <w:tr w:rsidR="00FA516C" w:rsidRPr="007139C9" w:rsidTr="00FF1EF8">
        <w:tc>
          <w:tcPr>
            <w:tcW w:w="9571" w:type="dxa"/>
            <w:tcBorders>
              <w:left w:val="single" w:sz="4" w:space="0" w:color="F2F2F2"/>
              <w:right w:val="single" w:sz="4" w:space="0" w:color="F2F2F2"/>
            </w:tcBorders>
          </w:tcPr>
          <w:p w:rsidR="00FA516C" w:rsidRDefault="00FA516C" w:rsidP="00FF1EF8">
            <w:pPr>
              <w:pStyle w:val="ListParagraph1"/>
              <w:spacing w:after="0" w:line="240" w:lineRule="auto"/>
              <w:ind w:left="0"/>
              <w:jc w:val="both"/>
              <w:rPr>
                <w:rFonts w:ascii="Cambria" w:hAnsi="Cambria" w:cs="Arial"/>
                <w:b/>
                <w:i/>
                <w:sz w:val="20"/>
                <w:szCs w:val="20"/>
              </w:rPr>
            </w:pPr>
          </w:p>
          <w:p w:rsidR="00FA516C" w:rsidRPr="00A92093" w:rsidRDefault="00FA516C" w:rsidP="00FF1EF8">
            <w:pPr>
              <w:pStyle w:val="ListParagraph1"/>
              <w:spacing w:after="0" w:line="240" w:lineRule="auto"/>
              <w:ind w:left="0"/>
              <w:jc w:val="both"/>
              <w:rPr>
                <w:rFonts w:ascii="Cambria" w:hAnsi="Cambria" w:cs="Arial"/>
                <w:b/>
                <w:i/>
                <w:sz w:val="20"/>
                <w:szCs w:val="20"/>
              </w:rPr>
            </w:pPr>
            <w:r w:rsidRPr="00A92093">
              <w:rPr>
                <w:rFonts w:ascii="Cambria" w:hAnsi="Cambria" w:cs="Arial"/>
                <w:b/>
                <w:i/>
                <w:sz w:val="20"/>
                <w:szCs w:val="20"/>
              </w:rPr>
              <w:t>Textul Legii adoptate:</w:t>
            </w:r>
          </w:p>
          <w:p w:rsidR="00FA516C" w:rsidRPr="00A92093" w:rsidRDefault="00FA516C" w:rsidP="00FF1EF8">
            <w:pPr>
              <w:pStyle w:val="ListParagraph1"/>
              <w:spacing w:after="0" w:line="240" w:lineRule="auto"/>
              <w:ind w:left="0"/>
              <w:jc w:val="both"/>
              <w:rPr>
                <w:rFonts w:ascii="Cambria" w:hAnsi="Cambria" w:cs="Arial"/>
                <w:b/>
                <w:sz w:val="24"/>
                <w:szCs w:val="24"/>
              </w:rPr>
            </w:pPr>
          </w:p>
          <w:p w:rsidR="00FA516C" w:rsidRPr="00A92093" w:rsidRDefault="00FA516C" w:rsidP="00FF1EF8">
            <w:pPr>
              <w:pStyle w:val="NormalWeb"/>
              <w:ind w:left="1134"/>
              <w:rPr>
                <w:rFonts w:ascii="Cambria" w:hAnsi="Cambria" w:cs="Arial"/>
                <w:sz w:val="20"/>
                <w:szCs w:val="20"/>
                <w:lang w:val="ro-RO" w:eastAsia="en-US"/>
              </w:rPr>
            </w:pPr>
            <w:r w:rsidRPr="00A92093">
              <w:rPr>
                <w:rFonts w:ascii="Cambria" w:hAnsi="Cambria" w:cs="Arial"/>
                <w:sz w:val="20"/>
                <w:szCs w:val="20"/>
                <w:lang w:val="ro-RO" w:eastAsia="en-US"/>
              </w:rPr>
              <w:t>1. Articolul 333 va avea următorul cuprins:</w:t>
            </w:r>
          </w:p>
          <w:p w:rsidR="00FA516C" w:rsidRPr="00A92093" w:rsidRDefault="00FA516C" w:rsidP="00FF1EF8">
            <w:pPr>
              <w:pStyle w:val="NormalWeb"/>
              <w:ind w:left="1134"/>
              <w:rPr>
                <w:rFonts w:ascii="Cambria" w:hAnsi="Cambria" w:cs="Arial"/>
                <w:sz w:val="20"/>
                <w:szCs w:val="20"/>
                <w:lang w:val="ro-RO" w:eastAsia="en-US"/>
              </w:rPr>
            </w:pPr>
            <w:r w:rsidRPr="00A92093">
              <w:rPr>
                <w:rFonts w:ascii="Cambria" w:hAnsi="Cambria" w:cs="Arial"/>
                <w:sz w:val="20"/>
                <w:szCs w:val="20"/>
                <w:lang w:val="ro-RO" w:eastAsia="en-US"/>
              </w:rPr>
              <w:t xml:space="preserve">“Articolul 333. Încălcarea regulilor de şedere în Republica Moldova </w:t>
            </w:r>
          </w:p>
          <w:p w:rsidR="00FA516C" w:rsidRPr="00A92093" w:rsidRDefault="00FA516C" w:rsidP="00FF1EF8">
            <w:pPr>
              <w:pStyle w:val="NormalWeb"/>
              <w:ind w:left="1134"/>
              <w:rPr>
                <w:rFonts w:ascii="Cambria" w:hAnsi="Cambria" w:cs="Arial"/>
                <w:sz w:val="20"/>
                <w:szCs w:val="20"/>
                <w:lang w:val="ro-RO" w:eastAsia="en-US"/>
              </w:rPr>
            </w:pPr>
            <w:r w:rsidRPr="00A92093">
              <w:rPr>
                <w:rFonts w:ascii="Cambria" w:hAnsi="Cambria" w:cs="Arial"/>
                <w:sz w:val="20"/>
                <w:szCs w:val="20"/>
                <w:lang w:val="ro-RO" w:eastAsia="en-US"/>
              </w:rPr>
              <w:t xml:space="preserve"> (4) Nedeclararea de către cetăţenii străini sau de către apatrizi la autorităţile competente, în termenul stabilit de legislaţie, a faptului intrării pe teritoriul Republicii Moldova pentru a fi luaţi în evidenţă, cu excepţia celor cărora le-a fost autorizată intrarea,</w:t>
            </w:r>
          </w:p>
          <w:p w:rsidR="00FA516C" w:rsidRDefault="00FA516C" w:rsidP="00FF1EF8">
            <w:pPr>
              <w:pStyle w:val="ListParagraph1"/>
              <w:spacing w:after="0" w:line="240" w:lineRule="auto"/>
              <w:ind w:left="1134"/>
              <w:jc w:val="both"/>
              <w:rPr>
                <w:rFonts w:ascii="Cambria" w:hAnsi="Cambria" w:cs="Arial"/>
                <w:sz w:val="20"/>
                <w:szCs w:val="20"/>
              </w:rPr>
            </w:pPr>
            <w:r w:rsidRPr="00A92093">
              <w:rPr>
                <w:rFonts w:ascii="Cambria" w:hAnsi="Cambria" w:cs="Arial"/>
                <w:sz w:val="20"/>
                <w:szCs w:val="20"/>
              </w:rPr>
              <w:t>se sancţionează cu amendă de la 10 la 20 de unităţi convenţionale. Sancţiunea respectivă nu se aplică faţă de posesorii documentelor de călătorie eliberate de autorităţile străine domiciliaţi în localităţile din stînga Nistrului (Transnistria).</w:t>
            </w:r>
          </w:p>
          <w:p w:rsidR="00FA516C" w:rsidRPr="00A92093" w:rsidRDefault="00FA516C" w:rsidP="00FF1EF8">
            <w:pPr>
              <w:pStyle w:val="ListParagraph1"/>
              <w:spacing w:after="0" w:line="240" w:lineRule="auto"/>
              <w:ind w:left="1134"/>
              <w:jc w:val="both"/>
              <w:rPr>
                <w:rFonts w:ascii="Cambria" w:hAnsi="Cambria" w:cs="Arial"/>
                <w:b/>
                <w:sz w:val="24"/>
                <w:szCs w:val="24"/>
              </w:rPr>
            </w:pP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7139C9">
      <w:pPr>
        <w:pStyle w:val="Heading1"/>
      </w:pPr>
      <w:bookmarkStart w:id="29" w:name="_Toc409790636"/>
      <w:r w:rsidRPr="00CE15B2">
        <w:t>IV.3 Omisiune/ignorare a drepturilor/libertăţilor</w:t>
      </w:r>
      <w:bookmarkEnd w:id="29"/>
    </w:p>
    <w:p w:rsidR="00FA516C" w:rsidRDefault="00FA516C" w:rsidP="00FA516C">
      <w:pPr>
        <w:pStyle w:val="ListParagraph1"/>
        <w:spacing w:after="0" w:line="240" w:lineRule="auto"/>
        <w:ind w:left="0"/>
        <w:jc w:val="both"/>
        <w:rPr>
          <w:rFonts w:ascii="Cambria" w:hAnsi="Cambria" w:cs="Arial"/>
          <w:b/>
          <w:sz w:val="24"/>
          <w:szCs w:val="24"/>
        </w:rPr>
      </w:pPr>
    </w:p>
    <w:p w:rsidR="00FA516C" w:rsidRPr="00DE4125" w:rsidRDefault="00FA516C" w:rsidP="00FA516C">
      <w:pPr>
        <w:pStyle w:val="ListParagraph1"/>
        <w:spacing w:after="0" w:line="240" w:lineRule="auto"/>
        <w:ind w:left="0"/>
        <w:jc w:val="both"/>
        <w:rPr>
          <w:rFonts w:ascii="Cambria" w:hAnsi="Cambria" w:cs="Arial"/>
          <w:sz w:val="24"/>
          <w:szCs w:val="24"/>
        </w:rPr>
      </w:pPr>
      <w:r w:rsidRPr="00D2757B">
        <w:rPr>
          <w:rFonts w:ascii="Cambria" w:hAnsi="Cambria" w:cs="Arial"/>
          <w:i/>
          <w:sz w:val="24"/>
          <w:szCs w:val="24"/>
        </w:rPr>
        <w:lastRenderedPageBreak/>
        <w:t>Omisiune/ignorare a drepturilor/libertăţilor</w:t>
      </w:r>
      <w:r>
        <w:rPr>
          <w:rFonts w:ascii="Cambria" w:hAnsi="Cambria" w:cs="Arial"/>
          <w:sz w:val="24"/>
          <w:szCs w:val="24"/>
        </w:rPr>
        <w:t xml:space="preserve"> sunt situaţiile, generate prin eventuala aplicare a normelor din proiectele de acte normative, de neglijare, desconsiderare a drepturilor şi/sau libertăţilor prevăzute de Constituţia Republicii Moldova sau tratatele internaţionale la care este parte Republica Moldova. </w:t>
      </w:r>
    </w:p>
    <w:p w:rsidR="00FA516C" w:rsidRDefault="00FA516C" w:rsidP="00FA516C">
      <w:pPr>
        <w:pStyle w:val="ListParagraph1"/>
        <w:spacing w:after="0" w:line="240" w:lineRule="auto"/>
        <w:ind w:left="0"/>
        <w:jc w:val="both"/>
        <w:rPr>
          <w:rFonts w:ascii="Cambria" w:hAnsi="Cambria" w:cs="Arial"/>
          <w:b/>
          <w:sz w:val="24"/>
          <w:szCs w:val="24"/>
        </w:rPr>
      </w:pPr>
    </w:p>
    <w:p w:rsidR="00FA516C" w:rsidRPr="00EE742B" w:rsidRDefault="00FA516C" w:rsidP="00FA516C">
      <w:pPr>
        <w:pStyle w:val="ListParagraph1"/>
        <w:spacing w:after="0" w:line="240" w:lineRule="auto"/>
        <w:ind w:left="0"/>
        <w:jc w:val="both"/>
        <w:rPr>
          <w:rFonts w:ascii="Cambria" w:hAnsi="Cambria" w:cs="Arial"/>
          <w:sz w:val="24"/>
          <w:szCs w:val="24"/>
        </w:rPr>
      </w:pPr>
      <w:r w:rsidRPr="00EE742B">
        <w:rPr>
          <w:rFonts w:ascii="Cambria" w:hAnsi="Cambria" w:cs="Arial"/>
          <w:sz w:val="24"/>
          <w:szCs w:val="24"/>
        </w:rPr>
        <w:t>Pericolul acestui element</w:t>
      </w:r>
      <w:r>
        <w:rPr>
          <w:rFonts w:ascii="Cambria" w:hAnsi="Cambria" w:cs="Arial"/>
          <w:sz w:val="24"/>
          <w:szCs w:val="24"/>
        </w:rPr>
        <w:t xml:space="preserve"> constă în posibilitatea care se oferă autorităţilor publice de a refuza în mod conştient să cunoască şi să aplice Constituţia Republicii Moldova şi tratatele internaţionale la care este parte Republica Moldova, în acest fel fiind nesocotite drepturile şi libertăţile omului.</w:t>
      </w:r>
    </w:p>
    <w:p w:rsidR="00FA516C" w:rsidRDefault="00FA516C" w:rsidP="00FA516C">
      <w:pPr>
        <w:pStyle w:val="ListParagraph1"/>
        <w:spacing w:after="0" w:line="240" w:lineRule="auto"/>
        <w:ind w:left="0"/>
        <w:jc w:val="both"/>
        <w:rPr>
          <w:rStyle w:val="def"/>
        </w:rPr>
      </w:pPr>
    </w:p>
    <w:p w:rsidR="00FA516C" w:rsidRPr="004E6A77" w:rsidRDefault="00FA516C" w:rsidP="00FA516C">
      <w:pPr>
        <w:pStyle w:val="ListParagraph1"/>
        <w:spacing w:after="0" w:line="240" w:lineRule="auto"/>
        <w:ind w:left="0"/>
        <w:rPr>
          <w:rFonts w:ascii="Cambria" w:hAnsi="Cambria" w:cs="Arial"/>
          <w:sz w:val="24"/>
          <w:szCs w:val="24"/>
        </w:rPr>
      </w:pPr>
      <w:r w:rsidRPr="0032764F">
        <w:rPr>
          <w:rFonts w:ascii="Cambria" w:hAnsi="Cambria" w:cs="Arial"/>
          <w:sz w:val="24"/>
          <w:szCs w:val="24"/>
        </w:rPr>
        <w:t xml:space="preserve">Situaţia pe domenii privind ponderea  prevederilor care </w:t>
      </w:r>
      <w:r>
        <w:rPr>
          <w:rFonts w:ascii="Cambria" w:hAnsi="Cambria" w:cs="Arial"/>
          <w:sz w:val="24"/>
          <w:szCs w:val="24"/>
        </w:rPr>
        <w:t xml:space="preserve">permit omiterea/ignorarea drepturilor/libertăţilor </w:t>
      </w:r>
      <w:r w:rsidRPr="0032764F">
        <w:rPr>
          <w:rFonts w:ascii="Cambria" w:hAnsi="Cambria" w:cs="Arial"/>
          <w:sz w:val="24"/>
          <w:szCs w:val="24"/>
        </w:rPr>
        <w:t xml:space="preserve"> şi eficienţa obiecţiilor formulate de CAPC </w:t>
      </w:r>
      <w:r>
        <w:rPr>
          <w:rFonts w:ascii="Cambria" w:hAnsi="Cambria" w:cs="Arial"/>
          <w:sz w:val="24"/>
          <w:szCs w:val="24"/>
        </w:rPr>
        <w:t xml:space="preserve">este arătată </w:t>
      </w:r>
      <w:r w:rsidRPr="0032764F">
        <w:rPr>
          <w:rFonts w:ascii="Cambria" w:hAnsi="Cambria" w:cs="Arial"/>
          <w:sz w:val="24"/>
          <w:szCs w:val="24"/>
        </w:rPr>
        <w:t xml:space="preserve">în Tabelul </w:t>
      </w:r>
      <w:r>
        <w:rPr>
          <w:rFonts w:ascii="Cambria" w:hAnsi="Cambria" w:cs="Arial"/>
          <w:sz w:val="24"/>
          <w:szCs w:val="24"/>
        </w:rPr>
        <w:t>3</w:t>
      </w:r>
      <w:r w:rsidRPr="0032764F">
        <w:rPr>
          <w:rFonts w:ascii="Cambria" w:hAnsi="Cambria" w:cs="Arial"/>
          <w:sz w:val="24"/>
          <w:szCs w:val="24"/>
        </w:rPr>
        <w:t>.</w:t>
      </w:r>
    </w:p>
    <w:p w:rsidR="00FA516C" w:rsidRDefault="00FA516C" w:rsidP="00FA516C">
      <w:pPr>
        <w:pStyle w:val="ListParagraph1"/>
        <w:spacing w:after="0" w:line="240" w:lineRule="auto"/>
        <w:ind w:left="0"/>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r w:rsidRPr="00E537C1">
        <w:rPr>
          <w:rFonts w:ascii="Cambria" w:hAnsi="Cambria" w:cs="Arial"/>
          <w:b/>
          <w:i/>
          <w:sz w:val="16"/>
          <w:szCs w:val="16"/>
        </w:rPr>
        <w:t>Tabel</w:t>
      </w:r>
      <w:r>
        <w:rPr>
          <w:rFonts w:ascii="Cambria" w:hAnsi="Cambria" w:cs="Arial"/>
          <w:b/>
          <w:i/>
          <w:sz w:val="16"/>
          <w:szCs w:val="16"/>
        </w:rPr>
        <w:t xml:space="preserve"> 3.</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care </w:t>
      </w:r>
      <w:r>
        <w:rPr>
          <w:rFonts w:ascii="Cambria" w:hAnsi="Cambria" w:cs="Arial"/>
          <w:i/>
          <w:sz w:val="16"/>
          <w:szCs w:val="16"/>
        </w:rPr>
        <w:t xml:space="preserve">omit/ignoră </w:t>
      </w:r>
      <w:r w:rsidRPr="006607BA">
        <w:rPr>
          <w:rFonts w:ascii="Cambria" w:hAnsi="Cambria" w:cs="Arial"/>
          <w:i/>
          <w:sz w:val="16"/>
          <w:szCs w:val="16"/>
        </w:rPr>
        <w:t xml:space="preserve">drepturile/libertăţile </w:t>
      </w:r>
      <w:r>
        <w:rPr>
          <w:rFonts w:ascii="Cambria" w:hAnsi="Cambria" w:cs="Arial"/>
          <w:i/>
          <w:sz w:val="16"/>
          <w:szCs w:val="16"/>
        </w:rPr>
        <w:t>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815"/>
        <w:gridCol w:w="1088"/>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Justiţie şi afaceri interne, drepturile şi libertăţile omului</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20</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9</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22,22%</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8</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815"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66,67%</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Legislaţia muncii, asigurarea socială şi ocrotirea sănătăţii</w:t>
            </w:r>
          </w:p>
        </w:tc>
        <w:tc>
          <w:tcPr>
            <w:tcW w:w="6815"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proiectele de legi expertizate  (77 proiecte)</w:t>
            </w:r>
          </w:p>
        </w:tc>
        <w:tc>
          <w:tcPr>
            <w:tcW w:w="1088"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A11856"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admit omisiunea/ignorarea drepturilor/libertăţilor,  identificate în legile adoptate/retrase (23 legi)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815"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88"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NoSpacing"/>
        <w:rPr>
          <w:rFonts w:ascii="Cambria" w:eastAsia="Times New Roman" w:hAnsi="Cambria" w:cs="Arial"/>
          <w:b/>
          <w:sz w:val="24"/>
          <w:szCs w:val="24"/>
          <w:lang w:val="ro-RO"/>
        </w:rPr>
      </w:pPr>
    </w:p>
    <w:p w:rsidR="00FA516C" w:rsidRPr="00C07599" w:rsidRDefault="00FA516C" w:rsidP="00FA516C">
      <w:pPr>
        <w:pStyle w:val="NoSpacing"/>
        <w:shd w:val="clear" w:color="auto" w:fill="B8CCE4"/>
        <w:rPr>
          <w:rFonts w:ascii="Cambria" w:hAnsi="Cambria" w:cs="Arial"/>
          <w:sz w:val="24"/>
          <w:szCs w:val="24"/>
          <w:lang w:val="en-US"/>
        </w:rPr>
      </w:pPr>
      <w:r w:rsidRPr="00C07599">
        <w:rPr>
          <w:rFonts w:ascii="Cambria" w:hAnsi="Cambria" w:cs="Arial"/>
          <w:b/>
          <w:i/>
          <w:sz w:val="24"/>
          <w:szCs w:val="24"/>
          <w:lang w:val="en-US"/>
        </w:rPr>
        <w:t>Exemplu:</w:t>
      </w:r>
      <w:r w:rsidRPr="00C07599">
        <w:rPr>
          <w:rFonts w:ascii="Cambria" w:hAnsi="Cambria" w:cs="Arial"/>
          <w:sz w:val="24"/>
          <w:szCs w:val="24"/>
          <w:lang w:val="en-US"/>
        </w:rPr>
        <w:t xml:space="preserve"> </w:t>
      </w:r>
      <w:r w:rsidRPr="00913EA3">
        <w:rPr>
          <w:rFonts w:ascii="Cambria" w:hAnsi="Cambria"/>
          <w:lang w:val="en-US"/>
        </w:rPr>
        <w:t>Codul transporturilor rutiere</w:t>
      </w:r>
      <w:r>
        <w:rPr>
          <w:rFonts w:ascii="Cambria" w:hAnsi="Cambria"/>
          <w:lang w:val="en-US"/>
        </w:rPr>
        <w:t xml:space="preserve">, </w:t>
      </w:r>
      <w:r w:rsidRPr="00913EA3">
        <w:rPr>
          <w:rFonts w:ascii="Cambria" w:hAnsi="Cambria"/>
          <w:lang w:val="en-US"/>
        </w:rPr>
        <w:t> nr. 150  din  17.07.2014</w:t>
      </w:r>
    </w:p>
    <w:p w:rsidR="00FA516C" w:rsidRPr="00E759E7" w:rsidRDefault="00FA516C" w:rsidP="00FA516C">
      <w:pPr>
        <w:rPr>
          <w:rFonts w:ascii="Cambria" w:hAnsi="Cambria"/>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7139C9" w:rsidTr="00FF1EF8">
        <w:tc>
          <w:tcPr>
            <w:tcW w:w="9571" w:type="dxa"/>
            <w:tcBorders>
              <w:left w:val="single" w:sz="4" w:space="0" w:color="F2F2F2"/>
              <w:right w:val="single" w:sz="4" w:space="0" w:color="F2F2F2"/>
            </w:tcBorders>
          </w:tcPr>
          <w:p w:rsidR="00FA516C" w:rsidRDefault="00FA516C" w:rsidP="00FF1EF8">
            <w:pPr>
              <w:pStyle w:val="NoSpacing"/>
              <w:rPr>
                <w:rFonts w:ascii="Cambria" w:hAnsi="Cambria"/>
                <w:b/>
                <w:i/>
                <w:sz w:val="20"/>
                <w:szCs w:val="20"/>
                <w:lang w:val="fr-FR"/>
              </w:rPr>
            </w:pPr>
          </w:p>
          <w:p w:rsidR="00FA516C" w:rsidRPr="00A92093" w:rsidRDefault="00FA516C" w:rsidP="00FF1EF8">
            <w:pPr>
              <w:pStyle w:val="NoSpacing"/>
              <w:rPr>
                <w:rFonts w:ascii="Cambria" w:hAnsi="Cambria"/>
                <w:lang w:val="ro-RO"/>
              </w:rPr>
            </w:pPr>
            <w:r w:rsidRPr="00A92093">
              <w:rPr>
                <w:rFonts w:ascii="Cambria" w:hAnsi="Cambria"/>
                <w:b/>
                <w:i/>
                <w:sz w:val="20"/>
                <w:szCs w:val="20"/>
                <w:lang w:val="fr-FR"/>
              </w:rPr>
              <w:t>Textul proiectului:</w:t>
            </w:r>
            <w:r w:rsidRPr="00A92093">
              <w:rPr>
                <w:rFonts w:ascii="Cambria" w:hAnsi="Cambria"/>
                <w:sz w:val="20"/>
                <w:szCs w:val="20"/>
                <w:lang w:val="ro-RO"/>
              </w:rPr>
              <w:t xml:space="preserve"> </w:t>
            </w:r>
            <w:r w:rsidRPr="00A92093">
              <w:rPr>
                <w:rFonts w:ascii="Cambria" w:hAnsi="Cambria"/>
                <w:lang w:val="ro-RO"/>
              </w:rPr>
              <w:t xml:space="preserve"> </w:t>
            </w:r>
          </w:p>
          <w:p w:rsidR="00FA516C" w:rsidRPr="00A92093" w:rsidRDefault="00FA516C" w:rsidP="00FF1EF8">
            <w:pPr>
              <w:pStyle w:val="NoSpacing"/>
              <w:ind w:left="1843"/>
              <w:rPr>
                <w:rFonts w:ascii="Cambria" w:hAnsi="Cambria"/>
                <w:sz w:val="16"/>
                <w:szCs w:val="16"/>
                <w:lang w:val="fr-FR"/>
              </w:rPr>
            </w:pPr>
            <w:r w:rsidRPr="00A92093">
              <w:rPr>
                <w:rFonts w:ascii="Cambria" w:hAnsi="Cambria"/>
                <w:sz w:val="20"/>
                <w:szCs w:val="20"/>
                <w:lang w:val="fr-FR"/>
              </w:rPr>
              <w:t>- vehicule sau un ansamblu de vehicule cu o masă maximă autorizată care să nu depăşească 3,5 tone, utilizate pentru transporturi de mărfuri;</w:t>
            </w:r>
          </w:p>
          <w:p w:rsidR="00FA516C" w:rsidRPr="00A92093" w:rsidRDefault="00FA516C" w:rsidP="00FF1EF8">
            <w:pPr>
              <w:pStyle w:val="NoSpacing"/>
              <w:ind w:left="1701"/>
              <w:rPr>
                <w:rFonts w:ascii="Cambria" w:hAnsi="Cambria"/>
                <w:sz w:val="16"/>
                <w:szCs w:val="16"/>
                <w:lang w:val="ro-RO"/>
              </w:rPr>
            </w:pPr>
          </w:p>
        </w:tc>
      </w:tr>
      <w:tr w:rsidR="00FA516C" w:rsidRPr="00A92093" w:rsidTr="00FF1EF8">
        <w:tc>
          <w:tcPr>
            <w:tcW w:w="9571" w:type="dxa"/>
            <w:tcBorders>
              <w:left w:val="single" w:sz="4" w:space="0" w:color="F2F2F2"/>
              <w:right w:val="single" w:sz="4" w:space="0" w:color="F2F2F2"/>
            </w:tcBorders>
          </w:tcPr>
          <w:p w:rsidR="00FA516C" w:rsidRDefault="00FA516C" w:rsidP="00FF1EF8">
            <w:pPr>
              <w:jc w:val="left"/>
              <w:rPr>
                <w:rFonts w:ascii="Cambria" w:hAnsi="Cambria" w:cs="Arial"/>
                <w:b/>
                <w:i/>
                <w:sz w:val="20"/>
                <w:szCs w:val="20"/>
                <w:lang w:val="ro-RO"/>
              </w:rPr>
            </w:pPr>
          </w:p>
          <w:p w:rsidR="00FA516C" w:rsidRPr="00A92093" w:rsidRDefault="00FA516C" w:rsidP="00FF1EF8">
            <w:pPr>
              <w:jc w:val="left"/>
              <w:rPr>
                <w:rFonts w:ascii="Cambria" w:eastAsia="Times New Roman" w:hAnsi="Cambria"/>
                <w:sz w:val="24"/>
                <w:szCs w:val="24"/>
                <w:lang w:val="ro-RO" w:eastAsia="ru-RU"/>
              </w:rPr>
            </w:pPr>
            <w:r w:rsidRPr="00A92093">
              <w:rPr>
                <w:rFonts w:ascii="Cambria" w:hAnsi="Cambria" w:cs="Arial"/>
                <w:b/>
                <w:i/>
                <w:sz w:val="20"/>
                <w:szCs w:val="20"/>
                <w:lang w:val="ro-RO"/>
              </w:rPr>
              <w:t>Elementul de vulnerabilitate identificat şi recomandarea expertului:</w:t>
            </w:r>
            <w:r w:rsidRPr="00A92093">
              <w:rPr>
                <w:rFonts w:ascii="Cambria" w:hAnsi="Cambria" w:cs="Arial"/>
                <w:b/>
                <w:sz w:val="16"/>
                <w:szCs w:val="16"/>
                <w:lang w:val="ro-RO"/>
              </w:rPr>
              <w:t xml:space="preserve">  </w:t>
            </w:r>
            <w:r w:rsidRPr="00A92093">
              <w:rPr>
                <w:rFonts w:ascii="Cambria" w:hAnsi="Cambria" w:cs="Arial"/>
                <w:sz w:val="20"/>
                <w:szCs w:val="20"/>
                <w:lang w:val="fr-FR"/>
              </w:rPr>
              <w:t>omisiune/ignorare a drepturilor/libertăţilor</w:t>
            </w:r>
          </w:p>
          <w:p w:rsidR="00FA516C" w:rsidRPr="00FA516C" w:rsidRDefault="00FA516C" w:rsidP="00FF1EF8">
            <w:pPr>
              <w:spacing w:before="100" w:beforeAutospacing="1" w:after="100" w:afterAutospacing="1"/>
              <w:rPr>
                <w:rFonts w:ascii="Cambria" w:hAnsi="Cambria" w:cs="Arial"/>
                <w:sz w:val="20"/>
                <w:szCs w:val="20"/>
                <w:lang w:val="fr-FR"/>
              </w:rPr>
            </w:pPr>
            <w:r w:rsidRPr="00A92093">
              <w:rPr>
                <w:rFonts w:ascii="Cambria" w:eastAsia="Times New Roman" w:hAnsi="Cambria" w:cs="Arial"/>
                <w:b/>
                <w:i/>
                <w:sz w:val="20"/>
                <w:szCs w:val="20"/>
                <w:lang w:val="ro-RO"/>
              </w:rPr>
              <w:t xml:space="preserve">Obiecţia expertului: </w:t>
            </w:r>
            <w:r w:rsidRPr="00A92093">
              <w:rPr>
                <w:rFonts w:ascii="Cambria" w:hAnsi="Cambria" w:cs="Arial"/>
                <w:sz w:val="20"/>
                <w:szCs w:val="20"/>
                <w:lang w:val="fr-FR"/>
              </w:rPr>
              <w:t>Asemenea vehicule pot fi utilizate şi în scopuri personale.</w:t>
            </w:r>
            <w:r w:rsidRPr="00A92093">
              <w:rPr>
                <w:lang w:val="fr-FR"/>
              </w:rPr>
              <w:t xml:space="preserve"> </w:t>
            </w:r>
            <w:r w:rsidRPr="00FA516C">
              <w:rPr>
                <w:rFonts w:ascii="Cambria" w:hAnsi="Cambria" w:cs="Arial"/>
                <w:sz w:val="20"/>
                <w:szCs w:val="20"/>
                <w:lang w:val="fr-FR"/>
              </w:rPr>
              <w:t xml:space="preserve">Nu este clar, de ce autorii au </w:t>
            </w:r>
            <w:r w:rsidRPr="00FA516C">
              <w:rPr>
                <w:rFonts w:ascii="Cambria" w:hAnsi="Cambria" w:cs="Arial"/>
                <w:sz w:val="20"/>
                <w:szCs w:val="20"/>
                <w:lang w:val="fr-FR"/>
              </w:rPr>
              <w:lastRenderedPageBreak/>
              <w:t>omis/ignorat dreptul de a utiliza astfel de autovehicole  în scopuri personale/necomerciale.</w:t>
            </w:r>
          </w:p>
          <w:p w:rsidR="00FA516C" w:rsidRDefault="00FA516C" w:rsidP="00FF1EF8">
            <w:pPr>
              <w:pStyle w:val="NoSpacing"/>
              <w:rPr>
                <w:rFonts w:ascii="Cambria" w:hAnsi="Cambria"/>
                <w:sz w:val="20"/>
                <w:szCs w:val="20"/>
                <w:lang w:val="en-US"/>
              </w:rPr>
            </w:pPr>
            <w:r w:rsidRPr="00E86379">
              <w:rPr>
                <w:rFonts w:ascii="Cambria" w:hAnsi="Cambria"/>
                <w:b/>
                <w:i/>
                <w:sz w:val="20"/>
                <w:szCs w:val="20"/>
              </w:rPr>
              <w:t>Recomandarea:</w:t>
            </w:r>
            <w:r w:rsidRPr="00E86379">
              <w:rPr>
                <w:rFonts w:ascii="Cambria" w:hAnsi="Cambria"/>
                <w:sz w:val="20"/>
                <w:szCs w:val="20"/>
              </w:rPr>
              <w:t xml:space="preserve"> Se recomandă completarea articolului cu sintagma "utilizate în scopuri necomerciale".</w:t>
            </w:r>
          </w:p>
          <w:p w:rsidR="00FA516C" w:rsidRPr="00E86379" w:rsidRDefault="00FA516C" w:rsidP="00FF1EF8">
            <w:pPr>
              <w:pStyle w:val="NoSpacing"/>
              <w:rPr>
                <w:rFonts w:ascii="Cambria" w:hAnsi="Cambria" w:cs="Arial"/>
                <w:sz w:val="20"/>
                <w:szCs w:val="20"/>
                <w:lang w:val="en-US"/>
              </w:rPr>
            </w:pPr>
          </w:p>
        </w:tc>
      </w:tr>
      <w:tr w:rsidR="00FA516C" w:rsidRPr="007139C9" w:rsidTr="00FF1EF8">
        <w:tc>
          <w:tcPr>
            <w:tcW w:w="9571" w:type="dxa"/>
            <w:tcBorders>
              <w:left w:val="single" w:sz="4" w:space="0" w:color="F2F2F2"/>
              <w:right w:val="single" w:sz="4" w:space="0" w:color="F2F2F2"/>
            </w:tcBorders>
          </w:tcPr>
          <w:p w:rsidR="00FA516C" w:rsidRDefault="00FA516C" w:rsidP="00FF1EF8">
            <w:pPr>
              <w:pStyle w:val="ListParagraph1"/>
              <w:spacing w:after="0" w:line="240" w:lineRule="auto"/>
              <w:ind w:left="0"/>
              <w:jc w:val="both"/>
              <w:rPr>
                <w:rFonts w:ascii="Cambria" w:hAnsi="Cambria" w:cs="Arial"/>
                <w:b/>
                <w:i/>
                <w:sz w:val="20"/>
                <w:szCs w:val="20"/>
              </w:rPr>
            </w:pPr>
          </w:p>
          <w:p w:rsidR="00FA516C" w:rsidRPr="00A92093" w:rsidRDefault="00FA516C" w:rsidP="00FF1EF8">
            <w:pPr>
              <w:pStyle w:val="ListParagraph1"/>
              <w:spacing w:after="0" w:line="240" w:lineRule="auto"/>
              <w:ind w:left="0"/>
              <w:jc w:val="both"/>
              <w:rPr>
                <w:rFonts w:ascii="Cambria" w:hAnsi="Cambria" w:cs="Arial"/>
                <w:b/>
                <w:i/>
                <w:sz w:val="20"/>
                <w:szCs w:val="20"/>
              </w:rPr>
            </w:pPr>
            <w:r w:rsidRPr="00A92093">
              <w:rPr>
                <w:rFonts w:ascii="Cambria" w:hAnsi="Cambria" w:cs="Arial"/>
                <w:b/>
                <w:i/>
                <w:sz w:val="20"/>
                <w:szCs w:val="20"/>
              </w:rPr>
              <w:t>Textul Legii adoptate:</w:t>
            </w:r>
          </w:p>
          <w:p w:rsidR="00FA516C" w:rsidRDefault="00FA516C" w:rsidP="00FA516C">
            <w:pPr>
              <w:pStyle w:val="NormalWeb"/>
              <w:ind w:left="993"/>
              <w:rPr>
                <w:rFonts w:ascii="Cambria" w:hAnsi="Cambria"/>
                <w:sz w:val="20"/>
                <w:szCs w:val="20"/>
                <w:lang w:val="fr-FR"/>
              </w:rPr>
            </w:pPr>
            <w:r w:rsidRPr="00A92093">
              <w:rPr>
                <w:rFonts w:ascii="Cambria" w:hAnsi="Cambria"/>
                <w:sz w:val="20"/>
                <w:szCs w:val="20"/>
                <w:lang w:val="fr-FR"/>
              </w:rPr>
              <w:t>– vehicule rutiere sau ansamblu de vehicule rutiere cu masă maximă autorizată ce nu depăşeşte 3,5 tone, utilizate pentru transporturi rutiere de mărfuri în interes personal;</w:t>
            </w:r>
          </w:p>
          <w:p w:rsidR="00FA516C" w:rsidRPr="00A92093" w:rsidRDefault="00FA516C" w:rsidP="00FA516C">
            <w:pPr>
              <w:pStyle w:val="NormalWeb"/>
              <w:ind w:left="993"/>
              <w:rPr>
                <w:rFonts w:ascii="Cambria" w:hAnsi="Cambria"/>
                <w:sz w:val="20"/>
                <w:szCs w:val="20"/>
                <w:lang w:val="fr-FR"/>
              </w:rPr>
            </w:pP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7139C9">
      <w:pPr>
        <w:pStyle w:val="Heading1"/>
      </w:pPr>
      <w:bookmarkStart w:id="30" w:name="_Toc409790637"/>
      <w:r w:rsidRPr="0032764F">
        <w:t>IV.4 Prevederi necorespunzătoare jurisprudenţei CtEDO</w:t>
      </w:r>
      <w:bookmarkEnd w:id="30"/>
    </w:p>
    <w:p w:rsidR="00FA516C" w:rsidRDefault="00FA516C" w:rsidP="00FA516C">
      <w:pPr>
        <w:pStyle w:val="ListParagraph1"/>
        <w:spacing w:after="0" w:line="240" w:lineRule="auto"/>
        <w:ind w:left="0"/>
        <w:jc w:val="both"/>
        <w:rPr>
          <w:rFonts w:ascii="Cambria" w:hAnsi="Cambria" w:cs="Arial"/>
          <w:b/>
          <w:sz w:val="24"/>
          <w:szCs w:val="24"/>
        </w:rPr>
      </w:pPr>
    </w:p>
    <w:p w:rsidR="00FA516C" w:rsidRPr="0053086A" w:rsidRDefault="00FA516C" w:rsidP="00FA516C">
      <w:pPr>
        <w:pStyle w:val="ListParagraph1"/>
        <w:spacing w:after="0" w:line="240" w:lineRule="auto"/>
        <w:ind w:left="0"/>
        <w:jc w:val="both"/>
        <w:rPr>
          <w:rFonts w:ascii="Cambria" w:hAnsi="Cambria" w:cs="Arial"/>
          <w:sz w:val="24"/>
          <w:szCs w:val="24"/>
        </w:rPr>
      </w:pPr>
      <w:r w:rsidRPr="0053086A">
        <w:rPr>
          <w:rFonts w:ascii="Cambria" w:hAnsi="Cambria" w:cs="Arial"/>
          <w:i/>
          <w:sz w:val="24"/>
          <w:szCs w:val="24"/>
        </w:rPr>
        <w:t>Prevederi necorespunzătoare jurisprudenţei CtEDO</w:t>
      </w:r>
      <w:r w:rsidRPr="0053086A">
        <w:rPr>
          <w:rFonts w:ascii="Cambria" w:hAnsi="Cambria" w:cs="Arial"/>
          <w:sz w:val="24"/>
          <w:szCs w:val="24"/>
        </w:rPr>
        <w:t xml:space="preserve"> </w:t>
      </w:r>
      <w:r>
        <w:rPr>
          <w:rFonts w:ascii="Cambria" w:hAnsi="Cambria" w:cs="Arial"/>
          <w:sz w:val="24"/>
          <w:szCs w:val="24"/>
        </w:rPr>
        <w:t xml:space="preserve"> </w:t>
      </w:r>
      <w:r w:rsidRPr="0053086A">
        <w:rPr>
          <w:rFonts w:ascii="Cambria" w:hAnsi="Cambria" w:cs="Arial"/>
          <w:sz w:val="24"/>
          <w:szCs w:val="24"/>
        </w:rPr>
        <w:t xml:space="preserve">sunt normele </w:t>
      </w:r>
      <w:r>
        <w:rPr>
          <w:rFonts w:ascii="Cambria" w:hAnsi="Cambria" w:cs="Arial"/>
          <w:sz w:val="24"/>
          <w:szCs w:val="24"/>
        </w:rPr>
        <w:t>la elaborarea cărora nu s-a ţinut cont de hotărîrile CtEDO, prin care Republica Moldova a fost condamnată sau Hotărîrile CtEDO în privinţa altor state, dar care sunt relevante pentru subiectul tratat de norma respectivă.</w:t>
      </w: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r w:rsidRPr="00EE742B">
        <w:rPr>
          <w:rFonts w:ascii="Cambria" w:hAnsi="Cambria" w:cs="Arial"/>
          <w:sz w:val="24"/>
          <w:szCs w:val="24"/>
        </w:rPr>
        <w:t>Pericolul acestui element</w:t>
      </w:r>
      <w:r>
        <w:rPr>
          <w:rFonts w:ascii="Cambria" w:hAnsi="Cambria" w:cs="Arial"/>
          <w:sz w:val="24"/>
          <w:szCs w:val="24"/>
        </w:rPr>
        <w:t xml:space="preserve"> constă în perpetuarea, prin autoritatea legii, a încălcărilor drepturilor omului şi, în consecinţă, creşterea probabilităţii condamnării sau condamnarea repetată a Republicii Moldova de către CtEDO.</w:t>
      </w:r>
    </w:p>
    <w:p w:rsidR="00FA516C" w:rsidRDefault="00FA516C" w:rsidP="00FA516C">
      <w:pPr>
        <w:pStyle w:val="ListParagraph1"/>
        <w:spacing w:after="0" w:line="240" w:lineRule="auto"/>
        <w:ind w:left="0"/>
        <w:jc w:val="both"/>
        <w:rPr>
          <w:rFonts w:ascii="Cambria" w:hAnsi="Cambria" w:cs="Arial"/>
          <w:b/>
          <w:sz w:val="24"/>
          <w:szCs w:val="24"/>
        </w:rPr>
      </w:pPr>
    </w:p>
    <w:p w:rsidR="00FA516C" w:rsidRPr="004E6A77" w:rsidRDefault="00FA516C" w:rsidP="00FA516C">
      <w:pPr>
        <w:pStyle w:val="ListParagraph1"/>
        <w:spacing w:after="0" w:line="240" w:lineRule="auto"/>
        <w:ind w:left="0"/>
        <w:jc w:val="both"/>
        <w:rPr>
          <w:rFonts w:ascii="Cambria" w:hAnsi="Cambria" w:cs="Arial"/>
          <w:sz w:val="24"/>
          <w:szCs w:val="24"/>
        </w:rPr>
      </w:pPr>
      <w:r>
        <w:rPr>
          <w:rFonts w:ascii="Cambria" w:hAnsi="Cambria" w:cs="Arial"/>
          <w:sz w:val="24"/>
          <w:szCs w:val="24"/>
        </w:rPr>
        <w:t>În Tabelul 4 poate fi vizualizată s</w:t>
      </w:r>
      <w:r w:rsidRPr="0032764F">
        <w:rPr>
          <w:rFonts w:ascii="Cambria" w:hAnsi="Cambria" w:cs="Arial"/>
          <w:sz w:val="24"/>
          <w:szCs w:val="24"/>
        </w:rPr>
        <w:t xml:space="preserve">ituaţia pe domenii privind ponderea  prevederilor </w:t>
      </w:r>
      <w:r>
        <w:rPr>
          <w:rFonts w:ascii="Cambria" w:hAnsi="Cambria" w:cs="Arial"/>
          <w:sz w:val="24"/>
          <w:szCs w:val="24"/>
        </w:rPr>
        <w:t>necorespunzătoare jurisprudenţei CtEDO şi eficienţa obiecţiilor formulate de CAPC privitoare la acest factor în rapoartele de expertiză.</w:t>
      </w:r>
    </w:p>
    <w:p w:rsidR="00FA516C" w:rsidRDefault="00FA516C" w:rsidP="00FA516C">
      <w:pPr>
        <w:pStyle w:val="ListParagraph1"/>
        <w:spacing w:after="0" w:line="240" w:lineRule="auto"/>
        <w:ind w:left="0"/>
        <w:rPr>
          <w:rFonts w:ascii="Cambria" w:hAnsi="Cambria" w:cs="Arial"/>
          <w:b/>
          <w:sz w:val="24"/>
          <w:szCs w:val="24"/>
        </w:rPr>
      </w:pPr>
    </w:p>
    <w:p w:rsidR="00FA516C" w:rsidRPr="006607BA" w:rsidRDefault="00FA516C" w:rsidP="00FA516C">
      <w:pPr>
        <w:pStyle w:val="ListParagraph1"/>
        <w:spacing w:after="0" w:line="240" w:lineRule="auto"/>
        <w:ind w:left="0"/>
        <w:jc w:val="both"/>
        <w:rPr>
          <w:rFonts w:ascii="Cambria" w:hAnsi="Cambria" w:cs="Arial"/>
          <w:b/>
          <w:sz w:val="24"/>
          <w:szCs w:val="24"/>
        </w:rPr>
      </w:pPr>
      <w:r w:rsidRPr="00E537C1">
        <w:rPr>
          <w:rFonts w:ascii="Cambria" w:hAnsi="Cambria" w:cs="Arial"/>
          <w:b/>
          <w:i/>
          <w:sz w:val="16"/>
          <w:szCs w:val="16"/>
        </w:rPr>
        <w:t xml:space="preserve">Tabel </w:t>
      </w:r>
      <w:r>
        <w:rPr>
          <w:rFonts w:ascii="Cambria" w:hAnsi="Cambria" w:cs="Arial"/>
          <w:b/>
          <w:i/>
          <w:sz w:val="16"/>
          <w:szCs w:val="16"/>
        </w:rPr>
        <w:t>4.</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w:t>
      </w:r>
      <w:r>
        <w:rPr>
          <w:rFonts w:ascii="Cambria" w:hAnsi="Cambria" w:cs="Arial"/>
          <w:i/>
          <w:sz w:val="16"/>
          <w:szCs w:val="16"/>
        </w:rPr>
        <w:t>necorespunzătoare jurisprudenţei CtEDO</w:t>
      </w:r>
      <w:r w:rsidRPr="006607BA">
        <w:rPr>
          <w:rFonts w:ascii="Cambria" w:hAnsi="Cambria" w:cs="Arial"/>
          <w:i/>
          <w:sz w:val="16"/>
          <w:szCs w:val="16"/>
        </w:rPr>
        <w:t xml:space="preserve"> </w:t>
      </w:r>
      <w:r>
        <w:rPr>
          <w:rFonts w:ascii="Cambria" w:hAnsi="Cambria" w:cs="Arial"/>
          <w:i/>
          <w:sz w:val="16"/>
          <w:szCs w:val="16"/>
        </w:rPr>
        <w:t>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Justiţie şi afaceri interne, drepturile şi libertăţile omului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10</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100%</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66,67%</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6</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33,33%</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 xml:space="preserve">Legislaţia muncii, asigurarea socială şi </w:t>
            </w:r>
            <w:r w:rsidRPr="005F4EA1">
              <w:rPr>
                <w:rFonts w:ascii="Cambria" w:hAnsi="Cambria" w:cs="Arial"/>
                <w:b/>
                <w:sz w:val="16"/>
                <w:szCs w:val="16"/>
              </w:rPr>
              <w:lastRenderedPageBreak/>
              <w:t>ocrotirea sănătăţii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lastRenderedPageBreak/>
              <w:t>Numărul de prevederi necorespunzătoare jurisprudenţei CtEDO,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A11856"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CtEDO,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Pr="006B73E7" w:rsidRDefault="00FA516C" w:rsidP="00FA516C">
      <w:pPr>
        <w:shd w:val="clear" w:color="auto" w:fill="8DB3E2"/>
        <w:rPr>
          <w:rFonts w:ascii="Cambria" w:eastAsia="Times New Roman" w:hAnsi="Cambria"/>
          <w:lang w:val="ro-RO" w:eastAsia="ru-RU"/>
        </w:rPr>
      </w:pPr>
      <w:r w:rsidRPr="006B73E7">
        <w:rPr>
          <w:rFonts w:ascii="Cambria" w:hAnsi="Cambria" w:cs="Arial"/>
          <w:b/>
          <w:i/>
          <w:sz w:val="24"/>
          <w:szCs w:val="24"/>
          <w:lang w:val="ro-RO"/>
        </w:rPr>
        <w:t>Exemplu:</w:t>
      </w:r>
      <w:r w:rsidRPr="006B73E7">
        <w:rPr>
          <w:rFonts w:ascii="Cambria" w:hAnsi="Cambria" w:cs="Arial"/>
          <w:sz w:val="24"/>
          <w:szCs w:val="24"/>
          <w:lang w:val="ro-RO"/>
        </w:rPr>
        <w:t xml:space="preserve"> </w:t>
      </w:r>
      <w:r w:rsidRPr="006B73E7">
        <w:rPr>
          <w:rFonts w:ascii="Cambria" w:eastAsia="Times New Roman" w:hAnsi="Cambria"/>
          <w:lang w:val="ro-RO" w:eastAsia="ru-RU"/>
        </w:rPr>
        <w:t xml:space="preserve">Legea nr. 343  din  24.12.2013 pentru modificarea şi completarea unor acte legislative </w:t>
      </w:r>
      <w:r>
        <w:rPr>
          <w:rFonts w:ascii="Cambria" w:eastAsia="Times New Roman" w:hAnsi="Cambria"/>
          <w:lang w:val="ro-RO" w:eastAsia="ru-RU"/>
        </w:rPr>
        <w:t>(</w:t>
      </w:r>
      <w:r w:rsidRPr="006B73E7">
        <w:rPr>
          <w:rFonts w:ascii="Cambria" w:eastAsia="Times New Roman" w:hAnsi="Cambria"/>
          <w:lang w:val="ro-RO" w:eastAsia="ru-RU"/>
        </w:rPr>
        <w:t>Legea nr.548-XIII din 21 iulie 1995 cu privire la Banca Naţională a Moldovei; Legea contenciosului administrativ nr.793-XIV din 10 februarie 2000; Codul de procedură civilă al Republicii Moldova nr.225-XV din 30 mai 2003</w:t>
      </w:r>
      <w:r>
        <w:rPr>
          <w:rFonts w:ascii="Cambria" w:eastAsia="Times New Roman" w:hAnsi="Cambria"/>
          <w:lang w:val="ro-RO" w:eastAsia="ru-RU"/>
        </w:rPr>
        <w:t>)</w:t>
      </w:r>
      <w:r w:rsidRPr="006B73E7">
        <w:rPr>
          <w:rFonts w:ascii="Cambria" w:eastAsia="Times New Roman" w:hAnsi="Cambria"/>
          <w:lang w:val="ro-RO" w:eastAsia="ru-RU"/>
        </w:rPr>
        <w:t xml:space="preserve"> </w:t>
      </w:r>
    </w:p>
    <w:p w:rsidR="00FA516C" w:rsidRPr="00403BF3" w:rsidRDefault="00FA516C" w:rsidP="00FA516C">
      <w:pPr>
        <w:rPr>
          <w:rFonts w:ascii="Times New Roman" w:eastAsia="Times New Roman" w:hAnsi="Times New Roman"/>
          <w:sz w:val="24"/>
          <w:szCs w:val="24"/>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7139C9" w:rsidTr="00FF1EF8">
        <w:tc>
          <w:tcPr>
            <w:tcW w:w="9571" w:type="dxa"/>
            <w:tcBorders>
              <w:left w:val="single" w:sz="4" w:space="0" w:color="F2F2F2"/>
              <w:right w:val="single" w:sz="4" w:space="0" w:color="F2F2F2"/>
            </w:tcBorders>
          </w:tcPr>
          <w:p w:rsidR="00FA516C" w:rsidRDefault="00FA516C" w:rsidP="00FF1EF8">
            <w:pPr>
              <w:pStyle w:val="NoSpacing"/>
              <w:rPr>
                <w:rFonts w:ascii="Cambria" w:hAnsi="Cambria"/>
                <w:sz w:val="20"/>
                <w:szCs w:val="20"/>
                <w:lang w:val="ro-RO"/>
              </w:rPr>
            </w:pPr>
            <w:r w:rsidRPr="00A92093">
              <w:rPr>
                <w:rFonts w:ascii="Cambria" w:hAnsi="Cambria"/>
                <w:b/>
                <w:i/>
                <w:sz w:val="20"/>
                <w:szCs w:val="20"/>
                <w:lang w:val="ro-RO"/>
              </w:rPr>
              <w:t>Textul proiectului:</w:t>
            </w:r>
            <w:r w:rsidRPr="00A92093">
              <w:rPr>
                <w:rFonts w:ascii="Cambria" w:hAnsi="Cambria"/>
                <w:sz w:val="20"/>
                <w:szCs w:val="20"/>
                <w:lang w:val="ro-RO"/>
              </w:rPr>
              <w:t xml:space="preserve"> </w:t>
            </w:r>
          </w:p>
          <w:p w:rsidR="00FA516C" w:rsidRPr="00A92093" w:rsidRDefault="00FA516C" w:rsidP="00FF1EF8">
            <w:pPr>
              <w:pStyle w:val="NoSpacing"/>
              <w:rPr>
                <w:rFonts w:ascii="Cambria" w:hAnsi="Cambria"/>
                <w:sz w:val="20"/>
                <w:szCs w:val="20"/>
                <w:lang w:val="ro-RO"/>
              </w:rPr>
            </w:pPr>
          </w:p>
          <w:p w:rsidR="00FA516C" w:rsidRPr="00A92093" w:rsidRDefault="00FA516C" w:rsidP="00FF1EF8">
            <w:pPr>
              <w:pStyle w:val="NoSpacing"/>
              <w:ind w:left="851"/>
              <w:rPr>
                <w:rFonts w:ascii="Cambria" w:hAnsi="Cambria"/>
                <w:sz w:val="20"/>
                <w:szCs w:val="20"/>
                <w:lang w:val="ro-RO" w:eastAsia="ru-RU"/>
              </w:rPr>
            </w:pPr>
            <w:r w:rsidRPr="00A92093">
              <w:rPr>
                <w:rFonts w:ascii="Cambria" w:hAnsi="Cambria"/>
                <w:sz w:val="20"/>
                <w:szCs w:val="20"/>
                <w:lang w:val="ro-RO" w:eastAsia="ru-RU"/>
              </w:rPr>
              <w:t>Art. I. - Legea cu privire la Banca Națională nr.548-XIII din 21 iulie 1995 cu privire la Banca Naţională a Moldovei (Monitorul Oficial al Republicii Moldova, 1995, nr. 56-57, art. 624), cu modificările şi completările ulterioare, se modifică şi completează după cum urmează:</w:t>
            </w:r>
          </w:p>
          <w:p w:rsidR="00FA516C" w:rsidRPr="00A92093" w:rsidRDefault="00FA516C" w:rsidP="00FF1EF8">
            <w:pPr>
              <w:pStyle w:val="NoSpacing"/>
              <w:ind w:left="851"/>
              <w:rPr>
                <w:rFonts w:ascii="Cambria" w:hAnsi="Cambria"/>
                <w:sz w:val="20"/>
                <w:szCs w:val="20"/>
                <w:lang w:val="ro-RO" w:eastAsia="ru-RU"/>
              </w:rPr>
            </w:pPr>
            <w:r w:rsidRPr="00A92093">
              <w:rPr>
                <w:rFonts w:ascii="Cambria" w:hAnsi="Cambria"/>
                <w:sz w:val="20"/>
                <w:szCs w:val="20"/>
                <w:lang w:val="ro-RO" w:eastAsia="ru-RU"/>
              </w:rPr>
              <w:t>1. La articolul 11:</w:t>
            </w:r>
          </w:p>
          <w:p w:rsidR="00FA516C" w:rsidRPr="00A92093" w:rsidRDefault="00FA516C" w:rsidP="00FF1EF8">
            <w:pPr>
              <w:pStyle w:val="NoSpacing"/>
              <w:ind w:left="851"/>
              <w:rPr>
                <w:rFonts w:ascii="Cambria" w:hAnsi="Cambria"/>
                <w:sz w:val="20"/>
                <w:szCs w:val="20"/>
                <w:lang w:val="ro-RO" w:eastAsia="ru-RU"/>
              </w:rPr>
            </w:pPr>
            <w:r w:rsidRPr="00A92093">
              <w:rPr>
                <w:rFonts w:ascii="Cambria" w:hAnsi="Cambria"/>
                <w:sz w:val="20"/>
                <w:szCs w:val="20"/>
                <w:lang w:val="ro-RO" w:eastAsia="ru-RU"/>
              </w:rPr>
              <w:t>alineatul (4) va avea următorul cuprins:</w:t>
            </w:r>
          </w:p>
          <w:p w:rsidR="00FA516C" w:rsidRPr="00A92093" w:rsidRDefault="00FA516C" w:rsidP="00FF1EF8">
            <w:pPr>
              <w:pStyle w:val="NoSpacing"/>
              <w:ind w:left="851"/>
              <w:rPr>
                <w:rFonts w:ascii="Cambria" w:hAnsi="Cambria"/>
                <w:sz w:val="20"/>
                <w:szCs w:val="20"/>
                <w:lang w:val="ro-RO" w:eastAsia="ru-RU"/>
              </w:rPr>
            </w:pPr>
            <w:r w:rsidRPr="00A92093">
              <w:rPr>
                <w:rFonts w:ascii="Cambria" w:hAnsi="Cambria"/>
                <w:sz w:val="20"/>
                <w:szCs w:val="20"/>
                <w:lang w:val="ro-RO" w:eastAsia="ru-RU"/>
              </w:rPr>
              <w:t>"(4) Actele Băncii Naţionale în domeniul politicii monetare şi valutare, inclusiv măsurile de salvgardare, actele Băncii Naţionale cu privire la administrarea specială asupra băncii, actele Băncii Naţionale adoptate în procesul de evaluare şi supraveghere a calităţii acţionarilor entităţilor supravegheate de Banca Naţională, precum şi măsurile implementate de Banca Naţională sau de administratorul special în cursul administrării speciale a băncii pot fi contestate doar sub aspectul procedurii de adoptare, în termen de 30 de zile, la Consiliul de administraţie, prin depunerea unei cereri prealabile.";</w:t>
            </w:r>
          </w:p>
          <w:p w:rsidR="00FA516C" w:rsidRPr="00A92093" w:rsidRDefault="00FA516C" w:rsidP="00FF1EF8">
            <w:pPr>
              <w:pStyle w:val="NoSpacing"/>
              <w:ind w:left="851"/>
              <w:rPr>
                <w:rFonts w:ascii="Cambria" w:eastAsia="Times New Roman" w:hAnsi="Cambria"/>
                <w:sz w:val="20"/>
                <w:szCs w:val="20"/>
                <w:lang w:val="ro-RO" w:eastAsia="ru-RU"/>
              </w:rPr>
            </w:pPr>
            <w:r w:rsidRPr="00A92093">
              <w:rPr>
                <w:rFonts w:ascii="Cambria" w:eastAsia="Times New Roman" w:hAnsi="Cambria"/>
                <w:sz w:val="20"/>
                <w:szCs w:val="20"/>
                <w:lang w:val="ro-RO" w:eastAsia="ru-RU"/>
              </w:rPr>
              <w:t>se completează cu alineatele (5) şi (6) cu următorul cuprins:</w:t>
            </w:r>
          </w:p>
          <w:p w:rsidR="00FA516C" w:rsidRPr="00A92093" w:rsidRDefault="00FA516C" w:rsidP="00FF1EF8">
            <w:pPr>
              <w:pStyle w:val="NoSpacing"/>
              <w:ind w:left="851"/>
              <w:rPr>
                <w:rFonts w:ascii="Cambria" w:eastAsia="Times New Roman" w:hAnsi="Cambria"/>
                <w:sz w:val="20"/>
                <w:szCs w:val="20"/>
                <w:lang w:val="ro-RO" w:eastAsia="ru-RU"/>
              </w:rPr>
            </w:pPr>
            <w:r w:rsidRPr="00A92093">
              <w:rPr>
                <w:rFonts w:ascii="Cambria" w:eastAsia="Times New Roman" w:hAnsi="Cambria"/>
                <w:sz w:val="20"/>
                <w:szCs w:val="20"/>
                <w:lang w:val="ro-RO" w:eastAsia="ru-RU"/>
              </w:rPr>
              <w:t>"(5) Consiliul de administraţie examinează cererile prealabile privind actele Băncii Naţionale prevăzute la alin.(4) în termen de 15 zile de la data depunerii.</w:t>
            </w:r>
          </w:p>
          <w:p w:rsidR="00FA516C" w:rsidRDefault="00FA516C" w:rsidP="00FF1EF8">
            <w:pPr>
              <w:pStyle w:val="NoSpacing"/>
              <w:ind w:left="851"/>
              <w:rPr>
                <w:rFonts w:ascii="Cambria" w:eastAsia="Times New Roman" w:hAnsi="Cambria"/>
                <w:sz w:val="20"/>
                <w:szCs w:val="20"/>
                <w:lang w:val="ro-RO" w:eastAsia="ru-RU"/>
              </w:rPr>
            </w:pPr>
            <w:r w:rsidRPr="00A92093">
              <w:rPr>
                <w:rFonts w:ascii="Cambria" w:eastAsia="Times New Roman" w:hAnsi="Cambria"/>
                <w:sz w:val="20"/>
                <w:szCs w:val="20"/>
                <w:lang w:val="ro-RO" w:eastAsia="ru-RU"/>
              </w:rPr>
              <w:t>(6) Cererile de contestare a actelor Băncii Naţionale prevăzute la alin.(4) se</w:t>
            </w:r>
            <w:r w:rsidRPr="00A92093">
              <w:rPr>
                <w:rFonts w:ascii="Cambria" w:eastAsia="Times New Roman" w:hAnsi="Cambria"/>
                <w:sz w:val="20"/>
                <w:szCs w:val="20"/>
                <w:lang w:val="fr-FR" w:eastAsia="ru-RU"/>
              </w:rPr>
              <w:t xml:space="preserve"> </w:t>
            </w:r>
            <w:r w:rsidRPr="00A92093">
              <w:rPr>
                <w:rFonts w:ascii="Cambria" w:eastAsia="Times New Roman" w:hAnsi="Cambria"/>
                <w:sz w:val="20"/>
                <w:szCs w:val="20"/>
                <w:lang w:val="ro-RO" w:eastAsia="ru-RU"/>
              </w:rPr>
              <w:t>examinează de instanţa de judecată, în termen de 3 luni din data depunerii, sub aspectul procedurii de adoptare, cu condiţia respectării obligatorii de reclamant a procedurii prevăzute la alin.(4) şi (5)."</w:t>
            </w:r>
          </w:p>
          <w:p w:rsidR="00FA516C" w:rsidRPr="00A92093" w:rsidRDefault="00FA516C" w:rsidP="00FF1EF8">
            <w:pPr>
              <w:pStyle w:val="NoSpacing"/>
              <w:ind w:left="851"/>
              <w:rPr>
                <w:rFonts w:ascii="Cambria" w:eastAsia="Times New Roman" w:hAnsi="Cambria"/>
                <w:sz w:val="20"/>
                <w:szCs w:val="20"/>
                <w:lang w:val="fr-FR" w:eastAsia="ru-RU"/>
              </w:rPr>
            </w:pPr>
          </w:p>
        </w:tc>
      </w:tr>
      <w:tr w:rsidR="00FA516C" w:rsidRPr="00A92093" w:rsidTr="00FF1EF8">
        <w:tc>
          <w:tcPr>
            <w:tcW w:w="9571" w:type="dxa"/>
            <w:tcBorders>
              <w:left w:val="single" w:sz="4" w:space="0" w:color="F2F2F2"/>
              <w:right w:val="single" w:sz="4" w:space="0" w:color="F2F2F2"/>
            </w:tcBorders>
          </w:tcPr>
          <w:p w:rsidR="00FA516C" w:rsidRDefault="00FA516C" w:rsidP="00FF1EF8">
            <w:pPr>
              <w:rPr>
                <w:rFonts w:ascii="Cambria" w:hAnsi="Cambria" w:cs="Arial"/>
                <w:b/>
                <w:i/>
                <w:sz w:val="20"/>
                <w:szCs w:val="20"/>
                <w:lang w:val="ro-RO"/>
              </w:rPr>
            </w:pPr>
          </w:p>
          <w:p w:rsidR="00FA516C" w:rsidRPr="00A92093" w:rsidRDefault="00FA516C" w:rsidP="00FF1EF8">
            <w:pPr>
              <w:rPr>
                <w:rFonts w:ascii="Cambria" w:eastAsia="Times New Roman" w:hAnsi="Cambria"/>
                <w:sz w:val="20"/>
                <w:szCs w:val="20"/>
                <w:lang w:val="ro-RO" w:eastAsia="ru-RU"/>
              </w:rPr>
            </w:pPr>
            <w:r w:rsidRPr="00A92093">
              <w:rPr>
                <w:rFonts w:ascii="Cambria" w:hAnsi="Cambria" w:cs="Arial"/>
                <w:b/>
                <w:i/>
                <w:sz w:val="20"/>
                <w:szCs w:val="20"/>
                <w:lang w:val="ro-RO"/>
              </w:rPr>
              <w:t>Elementul de vulnerabilitate identificat şi recomandarea expertului:</w:t>
            </w:r>
            <w:r w:rsidRPr="00A92093">
              <w:rPr>
                <w:rFonts w:ascii="Cambria" w:hAnsi="Cambria" w:cs="Arial"/>
                <w:b/>
                <w:sz w:val="16"/>
                <w:szCs w:val="16"/>
                <w:lang w:val="ro-RO"/>
              </w:rPr>
              <w:t xml:space="preserve">  </w:t>
            </w:r>
            <w:r w:rsidRPr="00A92093">
              <w:rPr>
                <w:rFonts w:ascii="Cambria" w:eastAsia="Times New Roman" w:hAnsi="Cambria"/>
                <w:sz w:val="20"/>
                <w:szCs w:val="20"/>
                <w:lang w:val="ro-RO" w:eastAsia="ru-RU"/>
              </w:rPr>
              <w:t xml:space="preserve">prevederi </w:t>
            </w:r>
            <w:r w:rsidRPr="00A92093">
              <w:rPr>
                <w:rFonts w:ascii="Cambria" w:eastAsia="Times New Roman" w:hAnsi="Cambria"/>
                <w:sz w:val="20"/>
                <w:szCs w:val="20"/>
                <w:u w:val="single"/>
                <w:lang w:val="ro-RO" w:eastAsia="ru-RU"/>
              </w:rPr>
              <w:t>necorespunzătoare</w:t>
            </w:r>
            <w:r w:rsidRPr="00A92093">
              <w:rPr>
                <w:rFonts w:ascii="Times New Roman" w:eastAsia="Times New Roman" w:hAnsi="Times New Roman"/>
                <w:sz w:val="24"/>
                <w:szCs w:val="24"/>
                <w:u w:val="single"/>
                <w:lang w:val="ro-RO" w:eastAsia="ru-RU"/>
              </w:rPr>
              <w:t xml:space="preserve"> </w:t>
            </w:r>
            <w:r w:rsidRPr="00A92093">
              <w:rPr>
                <w:rFonts w:ascii="Cambria" w:eastAsia="Times New Roman" w:hAnsi="Cambria"/>
                <w:sz w:val="20"/>
                <w:szCs w:val="20"/>
                <w:u w:val="single"/>
                <w:lang w:val="ro-RO" w:eastAsia="ru-RU"/>
              </w:rPr>
              <w:t>jurisprudenţei CtEDO</w:t>
            </w:r>
            <w:r w:rsidRPr="00A92093">
              <w:rPr>
                <w:rFonts w:ascii="Cambria" w:eastAsia="Times New Roman" w:hAnsi="Cambria"/>
                <w:sz w:val="20"/>
                <w:szCs w:val="20"/>
                <w:lang w:val="ro-RO" w:eastAsia="ru-RU"/>
              </w:rPr>
              <w:t>; prevederi necorespunzătoare jurisprudenţei Curţii Constituţionale; prevederi necorespunzătoare normelor</w:t>
            </w:r>
            <w:r w:rsidRPr="00A92093">
              <w:rPr>
                <w:rFonts w:ascii="Times New Roman" w:eastAsia="Times New Roman" w:hAnsi="Times New Roman"/>
                <w:sz w:val="24"/>
                <w:szCs w:val="24"/>
                <w:lang w:val="ro-RO" w:eastAsia="ru-RU"/>
              </w:rPr>
              <w:t xml:space="preserve"> </w:t>
            </w:r>
            <w:r w:rsidRPr="00A92093">
              <w:rPr>
                <w:rFonts w:ascii="Cambria" w:eastAsia="Times New Roman" w:hAnsi="Cambria"/>
                <w:sz w:val="20"/>
                <w:szCs w:val="20"/>
                <w:lang w:val="ro-RO" w:eastAsia="ru-RU"/>
              </w:rPr>
              <w:t>constituţionale; prevederi necorespunzătoare normelor din legislaţia corelativă; prevederi care limitează drepturile/ libertăţile;  prevederi care încalcă drepturile/libertăţile;</w:t>
            </w:r>
          </w:p>
          <w:p w:rsidR="00FA516C" w:rsidRPr="00A92093" w:rsidRDefault="00FA516C" w:rsidP="00FF1EF8">
            <w:pPr>
              <w:spacing w:before="100" w:beforeAutospacing="1" w:after="100" w:afterAutospacing="1"/>
              <w:rPr>
                <w:rFonts w:ascii="Cambria" w:eastAsia="Times New Roman" w:hAnsi="Cambria"/>
                <w:sz w:val="20"/>
                <w:szCs w:val="20"/>
                <w:lang w:val="ro-RO" w:eastAsia="ru-RU"/>
              </w:rPr>
            </w:pPr>
            <w:r w:rsidRPr="00A92093">
              <w:rPr>
                <w:rFonts w:ascii="Cambria" w:eastAsia="Times New Roman" w:hAnsi="Cambria" w:cs="Arial"/>
                <w:b/>
                <w:i/>
                <w:sz w:val="20"/>
                <w:szCs w:val="20"/>
                <w:lang w:val="ro-RO"/>
              </w:rPr>
              <w:t xml:space="preserve">Obiecţia expertului: </w:t>
            </w:r>
            <w:r w:rsidRPr="00A92093">
              <w:rPr>
                <w:rFonts w:ascii="Cambria" w:eastAsia="Times New Roman" w:hAnsi="Cambria"/>
                <w:sz w:val="20"/>
                <w:szCs w:val="20"/>
                <w:lang w:val="ro-RO" w:eastAsia="ru-RU"/>
              </w:rPr>
              <w:t>Prevederile propuse în pct.1 contravin legislației în vigoare din domeniu și contravin principiilor de bază ale legiferării. Autorul propune o nouă redacție a art.11 alin.(4) în care: enumeră actele administrative ale Băncii Naționale exceptate de la procedura generală; stabilește dreptul de contestare a acestora doar sub aspectul procedurii de adoptare; stabilește termenul de contestare de 30 de zile, însă fără să specifice momentul de cînd începe să curgă acest termen și fără să delimiteze caracterul actului administrativ. ….  fixarea în alin.(6) a termenului de 3 luni în care urmează să fie examinate cererile de contestare a actelor Băncii Na</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ionale de către instan</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a de judecată, contravine legisla</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iei, jurispruden</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ei Cur</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ii Constitu</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ionale și chiar jurispruden</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 xml:space="preserve">ei CtEDO. </w:t>
            </w:r>
            <w:r w:rsidRPr="00A92093">
              <w:rPr>
                <w:rFonts w:ascii="Cambria" w:eastAsia="Times New Roman" w:hAnsi="Cambria"/>
                <w:sz w:val="20"/>
                <w:szCs w:val="20"/>
                <w:lang w:val="ro-RO" w:eastAsia="ru-RU"/>
              </w:rPr>
              <w:t xml:space="preserve"> ….</w:t>
            </w:r>
            <w:r w:rsidRPr="00A92093">
              <w:rPr>
                <w:rFonts w:ascii="Cambria" w:eastAsia="Times New Roman" w:hAnsi="Cambria" w:cs="Cambria"/>
                <w:sz w:val="20"/>
                <w:szCs w:val="20"/>
                <w:lang w:val="ro-RO" w:eastAsia="ru-RU"/>
              </w:rPr>
              <w:t>atît cadrul legal na</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ional, cît și cel interna</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ional prescriu examinarea în termen rezonabil a cauzelor deduse spre soluţionare instanţelor de judeca</w:t>
            </w:r>
            <w:r w:rsidRPr="00A92093">
              <w:rPr>
                <w:rFonts w:ascii="Cambria" w:eastAsia="Times New Roman" w:hAnsi="Cambria"/>
                <w:sz w:val="20"/>
                <w:szCs w:val="20"/>
                <w:lang w:val="ro-RO" w:eastAsia="ru-RU"/>
              </w:rPr>
              <w:t xml:space="preserve">tă. Examinarea cauzei în termen rezonabil constituie unul din principiile procesului civil. … </w:t>
            </w:r>
            <w:r w:rsidRPr="00A92093">
              <w:rPr>
                <w:rFonts w:ascii="Cambria" w:eastAsia="Times New Roman" w:hAnsi="Cambria" w:cs="Cambria"/>
                <w:sz w:val="20"/>
                <w:szCs w:val="20"/>
                <w:lang w:val="ro-RO" w:eastAsia="ru-RU"/>
              </w:rPr>
              <w:t>stabilirea prin lege a unor termene fixe de solu</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ionare a litigiilor incumbă statului o obliga</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ie pozitivă, însă o eventuală depășire a acestora poate determina încălcarea d</w:t>
            </w:r>
            <w:r w:rsidRPr="00A92093">
              <w:rPr>
                <w:rFonts w:ascii="Cambria" w:eastAsia="Times New Roman" w:hAnsi="Cambria"/>
                <w:sz w:val="20"/>
                <w:szCs w:val="20"/>
                <w:lang w:val="ro-RO" w:eastAsia="ru-RU"/>
              </w:rPr>
              <w:t>reptului la un proces echitabil și, în consecin</w:t>
            </w:r>
            <w:r w:rsidRPr="00A92093">
              <w:rPr>
                <w:rFonts w:ascii="Cambria Math" w:eastAsia="Times New Roman" w:hAnsi="Cambria Math" w:cs="Cambria Math"/>
                <w:sz w:val="20"/>
                <w:szCs w:val="20"/>
                <w:lang w:val="ro-RO" w:eastAsia="ru-RU"/>
              </w:rPr>
              <w:t>ț</w:t>
            </w:r>
            <w:r w:rsidRPr="00A92093">
              <w:rPr>
                <w:rFonts w:ascii="Cambria" w:eastAsia="Times New Roman" w:hAnsi="Cambria" w:cs="Cambria"/>
                <w:sz w:val="20"/>
                <w:szCs w:val="20"/>
                <w:lang w:val="ro-RO" w:eastAsia="ru-RU"/>
              </w:rPr>
              <w:t>ă, poate conduce la condamnarea Republicii Moldova la Curtea Europeană.</w:t>
            </w:r>
            <w:r w:rsidRPr="00A92093">
              <w:rPr>
                <w:rFonts w:ascii="Cambria" w:eastAsia="Times New Roman" w:hAnsi="Cambria"/>
                <w:sz w:val="20"/>
                <w:szCs w:val="20"/>
                <w:lang w:val="ro-RO" w:eastAsia="ru-RU"/>
              </w:rPr>
              <w:t xml:space="preserve"> …..</w:t>
            </w:r>
          </w:p>
          <w:p w:rsidR="00FA516C" w:rsidRDefault="00FA516C" w:rsidP="00FF1EF8">
            <w:pPr>
              <w:pStyle w:val="NoSpacing"/>
              <w:rPr>
                <w:rFonts w:ascii="Cambria" w:hAnsi="Cambria"/>
                <w:sz w:val="20"/>
                <w:szCs w:val="20"/>
                <w:lang w:val="ro-RO" w:eastAsia="ru-RU"/>
              </w:rPr>
            </w:pPr>
            <w:r w:rsidRPr="00E86379">
              <w:rPr>
                <w:rFonts w:ascii="Cambria" w:hAnsi="Cambria" w:cs="Arial"/>
                <w:b/>
                <w:i/>
                <w:sz w:val="20"/>
                <w:szCs w:val="20"/>
                <w:lang w:val="ro-RO"/>
              </w:rPr>
              <w:t>Recomandarea:</w:t>
            </w:r>
            <w:r w:rsidRPr="00E86379">
              <w:rPr>
                <w:rFonts w:ascii="Cambria" w:hAnsi="Cambria"/>
                <w:sz w:val="20"/>
                <w:szCs w:val="20"/>
                <w:lang w:val="ro-RO"/>
              </w:rPr>
              <w:t xml:space="preserve"> </w:t>
            </w:r>
            <w:r w:rsidRPr="00E86379">
              <w:rPr>
                <w:rFonts w:ascii="Cambria" w:hAnsi="Cambria"/>
                <w:sz w:val="20"/>
                <w:szCs w:val="20"/>
                <w:lang w:val="ro-RO" w:eastAsia="ru-RU"/>
              </w:rPr>
              <w:t>Recomandăm revizuirea substan</w:t>
            </w:r>
            <w:r w:rsidRPr="00E86379">
              <w:rPr>
                <w:rFonts w:ascii="Cambria" w:hAnsi="Cambria" w:cs="Cambria Math"/>
                <w:sz w:val="20"/>
                <w:szCs w:val="20"/>
                <w:lang w:val="ro-RO" w:eastAsia="ru-RU"/>
              </w:rPr>
              <w:t>ț</w:t>
            </w:r>
            <w:r w:rsidRPr="00E86379">
              <w:rPr>
                <w:rFonts w:ascii="Cambria" w:hAnsi="Cambria"/>
                <w:sz w:val="20"/>
                <w:szCs w:val="20"/>
                <w:lang w:val="ro-RO" w:eastAsia="ru-RU"/>
              </w:rPr>
              <w:t>ială a art.11, prin aducerea con</w:t>
            </w:r>
            <w:r w:rsidRPr="00E86379">
              <w:rPr>
                <w:rFonts w:ascii="Cambria" w:hAnsi="Cambria" w:cs="Cambria Math"/>
                <w:sz w:val="20"/>
                <w:szCs w:val="20"/>
                <w:lang w:val="ro-RO" w:eastAsia="ru-RU"/>
              </w:rPr>
              <w:t>ț</w:t>
            </w:r>
            <w:r w:rsidRPr="00E86379">
              <w:rPr>
                <w:rFonts w:ascii="Cambria" w:hAnsi="Cambria"/>
                <w:sz w:val="20"/>
                <w:szCs w:val="20"/>
                <w:lang w:val="ro-RO" w:eastAsia="ru-RU"/>
              </w:rPr>
              <w:t>inutului normelor propuse în alin.(4) și (5) în corespundere cu prevederile legisla</w:t>
            </w:r>
            <w:r w:rsidRPr="00E86379">
              <w:rPr>
                <w:rFonts w:ascii="Cambria" w:hAnsi="Cambria" w:cs="Cambria Math"/>
                <w:sz w:val="20"/>
                <w:szCs w:val="20"/>
                <w:lang w:val="ro-RO" w:eastAsia="ru-RU"/>
              </w:rPr>
              <w:t>ț</w:t>
            </w:r>
            <w:r w:rsidRPr="00E86379">
              <w:rPr>
                <w:rFonts w:ascii="Cambria" w:hAnsi="Cambria"/>
                <w:sz w:val="20"/>
                <w:szCs w:val="20"/>
                <w:lang w:val="ro-RO" w:eastAsia="ru-RU"/>
              </w:rPr>
              <w:t>iei în vigoare, Constitu</w:t>
            </w:r>
            <w:r w:rsidRPr="00E86379">
              <w:rPr>
                <w:rFonts w:ascii="Cambria" w:hAnsi="Cambria" w:cs="Cambria Math"/>
                <w:sz w:val="20"/>
                <w:szCs w:val="20"/>
                <w:lang w:val="ro-RO" w:eastAsia="ru-RU"/>
              </w:rPr>
              <w:t>ț</w:t>
            </w:r>
            <w:r w:rsidRPr="00E86379">
              <w:rPr>
                <w:rFonts w:ascii="Cambria" w:hAnsi="Cambria"/>
                <w:sz w:val="20"/>
                <w:szCs w:val="20"/>
                <w:lang w:val="ro-RO" w:eastAsia="ru-RU"/>
              </w:rPr>
              <w:t>iei, jurispruden</w:t>
            </w:r>
            <w:r w:rsidRPr="00E86379">
              <w:rPr>
                <w:rFonts w:ascii="Cambria" w:hAnsi="Cambria" w:cs="Cambria Math"/>
                <w:sz w:val="20"/>
                <w:szCs w:val="20"/>
                <w:lang w:val="ro-RO" w:eastAsia="ru-RU"/>
              </w:rPr>
              <w:t>ț</w:t>
            </w:r>
            <w:r w:rsidRPr="00E86379">
              <w:rPr>
                <w:rFonts w:ascii="Cambria" w:hAnsi="Cambria"/>
                <w:sz w:val="20"/>
                <w:szCs w:val="20"/>
                <w:lang w:val="ro-RO" w:eastAsia="ru-RU"/>
              </w:rPr>
              <w:t>ei Cur</w:t>
            </w:r>
            <w:r w:rsidRPr="00E86379">
              <w:rPr>
                <w:rFonts w:ascii="Cambria" w:hAnsi="Cambria" w:cs="Cambria Math"/>
                <w:sz w:val="20"/>
                <w:szCs w:val="20"/>
                <w:lang w:val="ro-RO" w:eastAsia="ru-RU"/>
              </w:rPr>
              <w:t>ț</w:t>
            </w:r>
            <w:r w:rsidRPr="00E86379">
              <w:rPr>
                <w:rFonts w:ascii="Cambria" w:hAnsi="Cambria"/>
                <w:sz w:val="20"/>
                <w:szCs w:val="20"/>
                <w:lang w:val="ro-RO" w:eastAsia="ru-RU"/>
              </w:rPr>
              <w:t>ii Constitu</w:t>
            </w:r>
            <w:r w:rsidRPr="00E86379">
              <w:rPr>
                <w:rFonts w:ascii="Cambria" w:hAnsi="Cambria" w:cs="Cambria Math"/>
                <w:sz w:val="20"/>
                <w:szCs w:val="20"/>
                <w:lang w:val="ro-RO" w:eastAsia="ru-RU"/>
              </w:rPr>
              <w:t>ț</w:t>
            </w:r>
            <w:r w:rsidRPr="00E86379">
              <w:rPr>
                <w:rFonts w:ascii="Cambria" w:hAnsi="Cambria"/>
                <w:sz w:val="20"/>
                <w:szCs w:val="20"/>
                <w:lang w:val="ro-RO" w:eastAsia="ru-RU"/>
              </w:rPr>
              <w:t>ionale și jurispruden</w:t>
            </w:r>
            <w:r w:rsidRPr="00E86379">
              <w:rPr>
                <w:rFonts w:ascii="Cambria" w:hAnsi="Cambria" w:cs="Cambria Math"/>
                <w:sz w:val="20"/>
                <w:szCs w:val="20"/>
                <w:lang w:val="ro-RO" w:eastAsia="ru-RU"/>
              </w:rPr>
              <w:t>ț</w:t>
            </w:r>
            <w:r w:rsidRPr="00E86379">
              <w:rPr>
                <w:rFonts w:ascii="Cambria" w:hAnsi="Cambria"/>
                <w:sz w:val="20"/>
                <w:szCs w:val="20"/>
                <w:lang w:val="ro-RO" w:eastAsia="ru-RU"/>
              </w:rPr>
              <w:t>ei CEDO. Totodată, propunem excluderea în totalitate a alin.(6) din art.11.</w:t>
            </w:r>
          </w:p>
          <w:p w:rsidR="00FA516C" w:rsidRPr="00E86379" w:rsidRDefault="00FA516C" w:rsidP="00FF1EF8">
            <w:pPr>
              <w:pStyle w:val="NoSpacing"/>
              <w:rPr>
                <w:rFonts w:ascii="Cambria" w:hAnsi="Cambria"/>
                <w:sz w:val="20"/>
                <w:szCs w:val="20"/>
                <w:lang w:val="ro-RO" w:eastAsia="ru-RU"/>
              </w:rPr>
            </w:pPr>
          </w:p>
        </w:tc>
      </w:tr>
      <w:tr w:rsidR="00FA516C" w:rsidRPr="007139C9" w:rsidTr="00FF1EF8">
        <w:tc>
          <w:tcPr>
            <w:tcW w:w="9571" w:type="dxa"/>
            <w:tcBorders>
              <w:left w:val="single" w:sz="4" w:space="0" w:color="F2F2F2"/>
              <w:right w:val="single" w:sz="4" w:space="0" w:color="F2F2F2"/>
            </w:tcBorders>
          </w:tcPr>
          <w:p w:rsidR="00FA516C" w:rsidRDefault="00FA516C" w:rsidP="00FF1EF8">
            <w:pPr>
              <w:pStyle w:val="ListParagraph1"/>
              <w:spacing w:after="0" w:line="240" w:lineRule="auto"/>
              <w:ind w:left="0"/>
              <w:jc w:val="both"/>
              <w:rPr>
                <w:rFonts w:ascii="Cambria" w:hAnsi="Cambria" w:cs="Arial"/>
                <w:b/>
                <w:i/>
                <w:sz w:val="20"/>
                <w:szCs w:val="20"/>
              </w:rPr>
            </w:pPr>
          </w:p>
          <w:p w:rsidR="00FA516C" w:rsidRPr="00A92093" w:rsidRDefault="00FA516C" w:rsidP="00FF1EF8">
            <w:pPr>
              <w:pStyle w:val="ListParagraph1"/>
              <w:spacing w:after="0" w:line="240" w:lineRule="auto"/>
              <w:ind w:left="0"/>
              <w:jc w:val="both"/>
              <w:rPr>
                <w:rFonts w:ascii="Cambria" w:hAnsi="Cambria" w:cs="Arial"/>
                <w:b/>
                <w:i/>
                <w:sz w:val="20"/>
                <w:szCs w:val="20"/>
              </w:rPr>
            </w:pPr>
            <w:r w:rsidRPr="00A92093">
              <w:rPr>
                <w:rFonts w:ascii="Cambria" w:hAnsi="Cambria" w:cs="Arial"/>
                <w:b/>
                <w:i/>
                <w:sz w:val="20"/>
                <w:szCs w:val="20"/>
              </w:rPr>
              <w:t>Textul Legii adoptate:</w:t>
            </w:r>
          </w:p>
          <w:p w:rsidR="00FA516C" w:rsidRPr="00A92093" w:rsidRDefault="00FA516C" w:rsidP="00FF1EF8">
            <w:pPr>
              <w:pStyle w:val="NormalWeb"/>
              <w:ind w:left="1134"/>
              <w:rPr>
                <w:rFonts w:ascii="Cambria" w:hAnsi="Cambria"/>
                <w:sz w:val="20"/>
                <w:szCs w:val="20"/>
                <w:lang w:val="ro-RO"/>
              </w:rPr>
            </w:pPr>
            <w:r w:rsidRPr="00A92093">
              <w:rPr>
                <w:rFonts w:ascii="Cambria" w:hAnsi="Cambria"/>
                <w:b/>
                <w:bCs/>
                <w:sz w:val="20"/>
                <w:szCs w:val="20"/>
                <w:lang w:val="ro-RO"/>
              </w:rPr>
              <w:t>Art.I.</w:t>
            </w:r>
            <w:r w:rsidRPr="00A92093">
              <w:rPr>
                <w:rFonts w:ascii="Cambria" w:hAnsi="Cambria"/>
                <w:sz w:val="20"/>
                <w:szCs w:val="20"/>
                <w:lang w:val="ro-RO"/>
              </w:rPr>
              <w:t xml:space="preserve"> – Legea nr.548-XIII din 21 iulie 1995 cu privire la Banca Naţională a Moldovei (Monitorul Oficial al Republicii Moldova, 1995, nr.56–57, art.624), cu modificările ulterioare, se modifică şi </w:t>
            </w:r>
            <w:r w:rsidRPr="00A92093">
              <w:rPr>
                <w:rFonts w:ascii="Cambria" w:hAnsi="Cambria"/>
                <w:sz w:val="20"/>
                <w:szCs w:val="20"/>
                <w:lang w:val="ro-RO"/>
              </w:rPr>
              <w:lastRenderedPageBreak/>
              <w:t xml:space="preserve">se completează după cum urmează: </w:t>
            </w:r>
          </w:p>
          <w:p w:rsidR="00FA516C" w:rsidRPr="00A92093" w:rsidRDefault="00FA516C" w:rsidP="00FF1EF8">
            <w:pPr>
              <w:pStyle w:val="NormalWeb"/>
              <w:ind w:left="1134"/>
              <w:rPr>
                <w:rFonts w:ascii="Cambria" w:hAnsi="Cambria"/>
                <w:sz w:val="20"/>
                <w:szCs w:val="20"/>
                <w:lang w:val="fr-FR"/>
              </w:rPr>
            </w:pPr>
            <w:r w:rsidRPr="00A92093">
              <w:rPr>
                <w:rFonts w:ascii="Cambria" w:hAnsi="Cambria"/>
                <w:sz w:val="20"/>
                <w:szCs w:val="20"/>
                <w:lang w:val="fr-FR"/>
              </w:rPr>
              <w:t>1. Articolul 11:</w:t>
            </w:r>
          </w:p>
          <w:p w:rsidR="00FA516C" w:rsidRPr="00A92093" w:rsidRDefault="00FA516C" w:rsidP="00FF1EF8">
            <w:pPr>
              <w:pStyle w:val="NormalWeb"/>
              <w:ind w:left="1134"/>
              <w:rPr>
                <w:rFonts w:ascii="Cambria" w:hAnsi="Cambria"/>
                <w:sz w:val="20"/>
                <w:szCs w:val="20"/>
                <w:lang w:val="fr-FR"/>
              </w:rPr>
            </w:pPr>
            <w:r w:rsidRPr="00A92093">
              <w:rPr>
                <w:rFonts w:ascii="Cambria" w:hAnsi="Cambria"/>
                <w:sz w:val="20"/>
                <w:szCs w:val="20"/>
                <w:lang w:val="fr-FR"/>
              </w:rPr>
              <w:t>alineatul (4) va avea următorul cuprins:</w:t>
            </w:r>
          </w:p>
          <w:p w:rsidR="00FA516C" w:rsidRPr="00A92093" w:rsidRDefault="00FA516C" w:rsidP="00FF1EF8">
            <w:pPr>
              <w:pStyle w:val="NormalWeb"/>
              <w:ind w:left="1134"/>
              <w:rPr>
                <w:rFonts w:ascii="Cambria" w:hAnsi="Cambria"/>
                <w:sz w:val="20"/>
                <w:szCs w:val="20"/>
                <w:lang w:val="fr-FR"/>
              </w:rPr>
            </w:pPr>
            <w:r w:rsidRPr="00A92093">
              <w:rPr>
                <w:rFonts w:ascii="Cambria" w:hAnsi="Cambria"/>
                <w:sz w:val="20"/>
                <w:szCs w:val="20"/>
                <w:lang w:val="fr-FR"/>
              </w:rPr>
              <w:t>“(4) Actele Băncii Naţionale sînt supuse controlului de legalitate în instanţele de contencios administrativ conform procedurii stabilite de Legea contenciosului administrativ şi conform cerinţelor prezentei legi.”</w:t>
            </w:r>
          </w:p>
          <w:p w:rsidR="00FA516C" w:rsidRPr="00A92093" w:rsidRDefault="00FA516C" w:rsidP="00FF1EF8">
            <w:pPr>
              <w:pStyle w:val="NormalWeb"/>
              <w:ind w:left="1134"/>
              <w:rPr>
                <w:rFonts w:ascii="Cambria" w:hAnsi="Cambria"/>
                <w:sz w:val="20"/>
                <w:szCs w:val="20"/>
                <w:lang w:val="fr-FR"/>
              </w:rPr>
            </w:pPr>
            <w:r w:rsidRPr="00A92093">
              <w:rPr>
                <w:rFonts w:ascii="Cambria" w:hAnsi="Cambria"/>
                <w:sz w:val="20"/>
                <w:szCs w:val="20"/>
                <w:lang w:val="fr-FR"/>
              </w:rPr>
              <w:t>articolul se completează cu alineatele (5)–(9) cu următorul cuprins:</w:t>
            </w:r>
          </w:p>
          <w:p w:rsidR="00FA516C" w:rsidRPr="00A92093" w:rsidRDefault="00FA516C" w:rsidP="00FF1EF8">
            <w:pPr>
              <w:pStyle w:val="NormalWeb"/>
              <w:ind w:left="1134"/>
              <w:rPr>
                <w:rFonts w:ascii="Cambria" w:hAnsi="Cambria"/>
                <w:sz w:val="20"/>
                <w:szCs w:val="20"/>
                <w:lang w:val="fr-FR"/>
              </w:rPr>
            </w:pPr>
            <w:r w:rsidRPr="00A92093">
              <w:rPr>
                <w:rFonts w:ascii="Cambria" w:hAnsi="Cambria"/>
                <w:sz w:val="20"/>
                <w:szCs w:val="20"/>
                <w:lang w:val="fr-FR"/>
              </w:rPr>
              <w:t>“(5) Actele Băncii Naţionale nu se supun controlului de oportunitate.</w:t>
            </w:r>
          </w:p>
          <w:p w:rsidR="00FA516C" w:rsidRPr="00A92093" w:rsidRDefault="00FA516C" w:rsidP="00FF1EF8">
            <w:pPr>
              <w:pStyle w:val="NormalWeb"/>
              <w:ind w:left="1134"/>
              <w:rPr>
                <w:rFonts w:ascii="Cambria" w:hAnsi="Cambria"/>
                <w:sz w:val="20"/>
                <w:szCs w:val="20"/>
                <w:lang w:val="fr-FR"/>
              </w:rPr>
            </w:pPr>
            <w:r w:rsidRPr="00A92093">
              <w:rPr>
                <w:rFonts w:ascii="Cambria" w:hAnsi="Cambria"/>
                <w:sz w:val="20"/>
                <w:szCs w:val="20"/>
                <w:lang w:val="fr-FR"/>
              </w:rPr>
              <w:t>(6) Acţiunile de contencios administrativ privind actele Băncii Naţionale sau nesoluţionarea de către aceasta a unei cereri în termen legal se înaintează în instanţa de judecată în a cărei rază teritorială îşi are sediul Banca Naţională.</w:t>
            </w:r>
          </w:p>
          <w:p w:rsidR="00FA516C" w:rsidRPr="00A92093" w:rsidRDefault="00FA516C" w:rsidP="00FF1EF8">
            <w:pPr>
              <w:pStyle w:val="NormalWeb"/>
              <w:ind w:left="1134"/>
              <w:rPr>
                <w:rFonts w:ascii="Cambria" w:hAnsi="Cambria"/>
                <w:sz w:val="20"/>
                <w:szCs w:val="20"/>
                <w:lang w:val="fr-FR"/>
              </w:rPr>
            </w:pPr>
            <w:r w:rsidRPr="00A92093">
              <w:rPr>
                <w:rFonts w:ascii="Cambria" w:hAnsi="Cambria"/>
                <w:sz w:val="20"/>
                <w:szCs w:val="20"/>
                <w:lang w:val="fr-FR"/>
              </w:rPr>
              <w:t>(7) Actele Băncii Naţionale în domeniul politicii monetare şi valutare, inclusiv măsurile de salvgardare, pot fi contestate doar sub aspectul procedurii de adoptare.</w:t>
            </w:r>
          </w:p>
          <w:p w:rsidR="00FA516C" w:rsidRPr="00A92093" w:rsidRDefault="00FA516C" w:rsidP="00FF1EF8">
            <w:pPr>
              <w:pStyle w:val="NormalWeb"/>
              <w:ind w:left="1134"/>
              <w:rPr>
                <w:rFonts w:ascii="Cambria" w:hAnsi="Cambria"/>
                <w:sz w:val="20"/>
                <w:szCs w:val="20"/>
                <w:lang w:val="fr-FR"/>
              </w:rPr>
            </w:pPr>
            <w:r w:rsidRPr="00A92093">
              <w:rPr>
                <w:rFonts w:ascii="Cambria" w:hAnsi="Cambria"/>
                <w:sz w:val="20"/>
                <w:szCs w:val="20"/>
                <w:lang w:val="fr-FR"/>
              </w:rPr>
              <w:t>(8) Cererile prealabile prin care se contestă actele Băncii Naţionale cu privire la administrarea specială asupra băncii, actele Băncii Naţionale adoptate în procesul de evaluare şi supraveghere a calităţii acţionarilor entităţilor supravegheate de Banca Naţională, precum şi măsurile implementate de Banca Naţională sau de administratorul special în cursul administrării speciale a băncii, se examinează de Banca Naţională în termen de 5 zile lucrătoare.</w:t>
            </w:r>
          </w:p>
          <w:p w:rsidR="00FA516C" w:rsidRDefault="00FA516C" w:rsidP="00FF1EF8">
            <w:pPr>
              <w:pStyle w:val="ListParagraph1"/>
              <w:spacing w:after="0" w:line="240" w:lineRule="auto"/>
              <w:ind w:left="1134"/>
              <w:jc w:val="both"/>
              <w:rPr>
                <w:rFonts w:ascii="Cambria" w:hAnsi="Cambria"/>
                <w:sz w:val="20"/>
                <w:szCs w:val="20"/>
                <w:lang w:val="fr-FR"/>
              </w:rPr>
            </w:pPr>
            <w:r w:rsidRPr="00A92093">
              <w:rPr>
                <w:rFonts w:ascii="Cambria" w:hAnsi="Cambria"/>
                <w:sz w:val="20"/>
                <w:szCs w:val="20"/>
                <w:lang w:val="fr-FR"/>
              </w:rPr>
              <w:t>(9) Cererile de contestare a actelor Băncii Naţionale în domeniul politicii monetare şi valutare, inclusiv măsurile de salvgardare, a actelor Băncii Naţionale cu privire la administrarea specială asupra băncii, a actelor Băncii Naţionale adoptate în procesul de evaluare şi supraveghere a calităţii acţionarilor entităţilor supravegheate de Banca Naţională, precum şi a măsurilor implementate de Banca Naţională sau de administratorul special în cursul administrării speciale a băncii, se judecă în termen de 3 luni de la data depunerii.</w:t>
            </w:r>
          </w:p>
          <w:p w:rsidR="00FA516C" w:rsidRPr="00A92093" w:rsidRDefault="00FA516C" w:rsidP="00FF1EF8">
            <w:pPr>
              <w:pStyle w:val="ListParagraph1"/>
              <w:spacing w:after="0" w:line="240" w:lineRule="auto"/>
              <w:ind w:left="1134"/>
              <w:jc w:val="both"/>
              <w:rPr>
                <w:rFonts w:ascii="Cambria" w:hAnsi="Cambria" w:cs="Arial"/>
                <w:b/>
                <w:i/>
                <w:sz w:val="20"/>
                <w:szCs w:val="20"/>
              </w:rPr>
            </w:pP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7139C9">
      <w:pPr>
        <w:pStyle w:val="Heading1"/>
      </w:pPr>
      <w:bookmarkStart w:id="31" w:name="_Toc409790638"/>
      <w:r w:rsidRPr="00CE15B2">
        <w:t>IV.5 Prevederi care limitează drepturile/libertăţile</w:t>
      </w:r>
      <w:bookmarkEnd w:id="31"/>
    </w:p>
    <w:p w:rsidR="00FA516C" w:rsidRDefault="00FA516C" w:rsidP="00FA516C">
      <w:pPr>
        <w:pStyle w:val="ListParagraph1"/>
        <w:spacing w:after="0" w:line="240" w:lineRule="auto"/>
        <w:ind w:left="0"/>
        <w:jc w:val="both"/>
        <w:rPr>
          <w:rFonts w:ascii="Cambria" w:hAnsi="Cambria" w:cs="Arial"/>
          <w:b/>
          <w:sz w:val="24"/>
          <w:szCs w:val="24"/>
        </w:rPr>
      </w:pPr>
    </w:p>
    <w:p w:rsidR="00FA516C" w:rsidRPr="00B90505" w:rsidRDefault="00FA516C" w:rsidP="00FA516C">
      <w:pPr>
        <w:pStyle w:val="ListParagraph1"/>
        <w:spacing w:after="0" w:line="240" w:lineRule="auto"/>
        <w:ind w:left="0"/>
        <w:jc w:val="both"/>
        <w:rPr>
          <w:rFonts w:ascii="Cambria" w:hAnsi="Cambria" w:cs="Arial"/>
          <w:sz w:val="24"/>
          <w:szCs w:val="24"/>
        </w:rPr>
      </w:pPr>
      <w:r w:rsidRPr="00B90505">
        <w:rPr>
          <w:rFonts w:ascii="Cambria" w:hAnsi="Cambria" w:cs="Arial"/>
          <w:i/>
          <w:sz w:val="24"/>
          <w:szCs w:val="24"/>
        </w:rPr>
        <w:t>Prevederi care limitează drepturile/libertăţile</w:t>
      </w:r>
      <w:r>
        <w:rPr>
          <w:rFonts w:ascii="Cambria" w:hAnsi="Cambria" w:cs="Arial"/>
          <w:i/>
          <w:sz w:val="24"/>
          <w:szCs w:val="24"/>
        </w:rPr>
        <w:t xml:space="preserve"> </w:t>
      </w:r>
      <w:r>
        <w:rPr>
          <w:rFonts w:ascii="Cambria" w:hAnsi="Cambria" w:cs="Arial"/>
          <w:sz w:val="24"/>
          <w:szCs w:val="24"/>
        </w:rPr>
        <w:t xml:space="preserve">sunt normele care îngrădesc exercitarea nestingherită a drepturilor şi libertăţilor prevăzute de Constituţia Republicii Moldova şi tratatele internaţionale la care este parte Republica Moldova. </w:t>
      </w:r>
    </w:p>
    <w:p w:rsidR="00FA516C" w:rsidRDefault="00FA516C" w:rsidP="00FA516C">
      <w:pPr>
        <w:pStyle w:val="ListParagraph1"/>
        <w:spacing w:after="0" w:line="240" w:lineRule="auto"/>
        <w:ind w:left="0"/>
        <w:jc w:val="both"/>
        <w:rPr>
          <w:rFonts w:ascii="Cambria" w:hAnsi="Cambria" w:cs="Arial"/>
          <w:b/>
          <w:sz w:val="24"/>
          <w:szCs w:val="24"/>
        </w:rPr>
      </w:pPr>
    </w:p>
    <w:p w:rsidR="00FA516C" w:rsidRPr="00361D36" w:rsidRDefault="00FA516C" w:rsidP="00FA516C">
      <w:pPr>
        <w:pStyle w:val="ListParagraph1"/>
        <w:spacing w:after="0" w:line="240" w:lineRule="auto"/>
        <w:ind w:left="0"/>
        <w:jc w:val="both"/>
        <w:rPr>
          <w:rFonts w:ascii="Cambria" w:hAnsi="Cambria" w:cs="Arial"/>
          <w:sz w:val="24"/>
          <w:szCs w:val="24"/>
        </w:rPr>
      </w:pPr>
      <w:r w:rsidRPr="00361D36">
        <w:rPr>
          <w:rFonts w:ascii="Cambria" w:hAnsi="Cambria" w:cs="Arial"/>
          <w:sz w:val="24"/>
          <w:szCs w:val="24"/>
        </w:rPr>
        <w:t>Pericolul acestui element constă în subminarea abuzivă</w:t>
      </w:r>
      <w:r>
        <w:rPr>
          <w:rFonts w:ascii="Cambria" w:hAnsi="Cambria" w:cs="Arial"/>
          <w:sz w:val="24"/>
          <w:szCs w:val="24"/>
        </w:rPr>
        <w:t>, prin autoritatea legii, a garanţiilor de realizare a drepturilor şi libertăţilor stabilite în Constituţia Republicii Moldova sau tratatele internaţionale la care este parte Republica Moldova.</w:t>
      </w: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r w:rsidRPr="00E537C1">
        <w:rPr>
          <w:rFonts w:ascii="Cambria" w:hAnsi="Cambria" w:cs="Arial"/>
          <w:b/>
          <w:i/>
          <w:sz w:val="16"/>
          <w:szCs w:val="16"/>
        </w:rPr>
        <w:t xml:space="preserve">Tabel </w:t>
      </w:r>
      <w:r>
        <w:rPr>
          <w:rFonts w:ascii="Cambria" w:hAnsi="Cambria" w:cs="Arial"/>
          <w:b/>
          <w:i/>
          <w:sz w:val="16"/>
          <w:szCs w:val="16"/>
        </w:rPr>
        <w:t>5.</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w:t>
      </w:r>
      <w:r>
        <w:rPr>
          <w:rFonts w:ascii="Cambria" w:hAnsi="Cambria" w:cs="Arial"/>
          <w:i/>
          <w:sz w:val="16"/>
          <w:szCs w:val="16"/>
        </w:rPr>
        <w:t xml:space="preserve">care </w:t>
      </w:r>
      <w:r w:rsidRPr="00F81C29">
        <w:rPr>
          <w:rFonts w:ascii="Cambria" w:hAnsi="Cambria" w:cs="Arial"/>
          <w:i/>
          <w:sz w:val="16"/>
          <w:szCs w:val="16"/>
        </w:rPr>
        <w:t>limitează drepturile/libertăţile</w:t>
      </w:r>
      <w:r w:rsidRPr="00A81E50">
        <w:rPr>
          <w:rFonts w:ascii="Cambria" w:hAnsi="Cambria" w:cs="Arial"/>
          <w:i/>
          <w:sz w:val="16"/>
          <w:szCs w:val="16"/>
        </w:rPr>
        <w:t xml:space="preserve"> </w:t>
      </w:r>
      <w:r>
        <w:rPr>
          <w:rFonts w:ascii="Cambria" w:hAnsi="Cambria" w:cs="Arial"/>
          <w:i/>
          <w:sz w:val="16"/>
          <w:szCs w:val="16"/>
        </w:rPr>
        <w:t>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Justiţie şi afaceri interne, drepturile şi libertăţile omului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26</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12</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25%</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15</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6</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75%</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16</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Legislaţia muncii, asigurarea socială şi ocrotirea sănătăţii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6</w:t>
            </w:r>
          </w:p>
        </w:tc>
      </w:tr>
      <w:tr w:rsidR="00FA516C" w:rsidRPr="00A11856"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care limitează drepturile/libertăţile,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Pr="00C33E28" w:rsidRDefault="00FA516C" w:rsidP="00FA516C">
      <w:pPr>
        <w:shd w:val="clear" w:color="auto" w:fill="8DB3E2"/>
        <w:rPr>
          <w:rFonts w:ascii="Cambria" w:hAnsi="Cambria"/>
          <w:lang w:val="ro-RO"/>
        </w:rPr>
      </w:pPr>
      <w:r w:rsidRPr="00B02295">
        <w:rPr>
          <w:rFonts w:ascii="Cambria" w:hAnsi="Cambria" w:cs="Arial"/>
          <w:b/>
          <w:i/>
          <w:sz w:val="24"/>
          <w:szCs w:val="24"/>
          <w:lang w:val="fr-FR"/>
        </w:rPr>
        <w:t>Exemplu:</w:t>
      </w:r>
      <w:r w:rsidRPr="00B02295">
        <w:rPr>
          <w:rFonts w:ascii="Cambria" w:hAnsi="Cambria" w:cs="Arial"/>
          <w:sz w:val="24"/>
          <w:szCs w:val="24"/>
          <w:lang w:val="fr-FR"/>
        </w:rPr>
        <w:t xml:space="preserve"> </w:t>
      </w:r>
      <w:r w:rsidRPr="00C33E28">
        <w:rPr>
          <w:rFonts w:ascii="Cambria" w:hAnsi="Cambria"/>
          <w:lang w:val="ro-RO"/>
        </w:rPr>
        <w:t>Legea nr. 42  din  27.03.2014</w:t>
      </w:r>
      <w:r>
        <w:rPr>
          <w:rFonts w:ascii="Cambria" w:hAnsi="Cambria"/>
          <w:lang w:val="ro-RO"/>
        </w:rPr>
        <w:t xml:space="preserve"> </w:t>
      </w:r>
      <w:r w:rsidRPr="00C33E28">
        <w:rPr>
          <w:rFonts w:ascii="Cambria" w:hAnsi="Cambria"/>
          <w:lang w:val="ro-RO"/>
        </w:rPr>
        <w:t xml:space="preserve">pentru modificarea şi completarea Codului de executare </w:t>
      </w:r>
    </w:p>
    <w:p w:rsidR="00FA516C" w:rsidRPr="002F0489" w:rsidRDefault="00FA516C" w:rsidP="00FA516C">
      <w:pPr>
        <w:pStyle w:val="ListParagraph1"/>
        <w:shd w:val="clear" w:color="auto" w:fill="8DB3E2"/>
        <w:spacing w:after="0" w:line="240" w:lineRule="auto"/>
        <w:ind w:left="0"/>
        <w:jc w:val="both"/>
        <w:rPr>
          <w:rFonts w:ascii="Cambria" w:hAnsi="Cambria" w:cs="Arial"/>
          <w:sz w:val="24"/>
          <w:szCs w:val="24"/>
        </w:rPr>
      </w:pPr>
      <w:r w:rsidRPr="00C33E28">
        <w:rPr>
          <w:rFonts w:ascii="Cambria" w:hAnsi="Cambria"/>
        </w:rPr>
        <w:t>al RM nr.443-XV din 24 decembrie 2004</w:t>
      </w:r>
    </w:p>
    <w:p w:rsidR="00FA516C" w:rsidRPr="00E759E7" w:rsidRDefault="00FA516C" w:rsidP="00FA516C">
      <w:pPr>
        <w:rPr>
          <w:rFonts w:ascii="Cambria" w:hAnsi="Cambria"/>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A92093" w:rsidTr="00FF1EF8">
        <w:tc>
          <w:tcPr>
            <w:tcW w:w="9571" w:type="dxa"/>
            <w:tcBorders>
              <w:left w:val="single" w:sz="4" w:space="0" w:color="F2F2F2"/>
              <w:right w:val="single" w:sz="4" w:space="0" w:color="F2F2F2"/>
            </w:tcBorders>
          </w:tcPr>
          <w:p w:rsidR="00FA516C" w:rsidRDefault="00FA516C" w:rsidP="00FF1EF8">
            <w:pPr>
              <w:spacing w:before="100" w:beforeAutospacing="1" w:after="100" w:afterAutospacing="1"/>
              <w:jc w:val="left"/>
              <w:rPr>
                <w:rFonts w:ascii="Cambria" w:hAnsi="Cambria"/>
                <w:lang w:val="ro-RO"/>
              </w:rPr>
            </w:pPr>
            <w:r w:rsidRPr="00A92093">
              <w:rPr>
                <w:rFonts w:ascii="Cambria" w:hAnsi="Cambria"/>
                <w:b/>
                <w:i/>
                <w:sz w:val="20"/>
                <w:szCs w:val="20"/>
                <w:lang w:val="fr-FR"/>
              </w:rPr>
              <w:t>Textul proiectului:</w:t>
            </w:r>
            <w:r w:rsidRPr="00A92093">
              <w:rPr>
                <w:rFonts w:ascii="Cambria" w:hAnsi="Cambria"/>
                <w:sz w:val="20"/>
                <w:szCs w:val="20"/>
                <w:lang w:val="ro-RO"/>
              </w:rPr>
              <w:t xml:space="preserve"> </w:t>
            </w:r>
            <w:r w:rsidRPr="00A92093">
              <w:rPr>
                <w:rFonts w:ascii="Cambria" w:hAnsi="Cambria"/>
                <w:lang w:val="ro-RO"/>
              </w:rPr>
              <w:t xml:space="preserve"> </w:t>
            </w:r>
          </w:p>
          <w:p w:rsidR="00FA516C" w:rsidRPr="00924B3F" w:rsidRDefault="00FA516C" w:rsidP="00FF1EF8">
            <w:pPr>
              <w:spacing w:before="100" w:beforeAutospacing="1" w:after="100" w:afterAutospacing="1"/>
              <w:ind w:left="1134"/>
              <w:jc w:val="left"/>
              <w:rPr>
                <w:rFonts w:ascii="Cambria" w:eastAsia="Times New Roman" w:hAnsi="Cambria" w:cs="Arial"/>
                <w:sz w:val="20"/>
                <w:szCs w:val="20"/>
                <w:lang w:val="ro-RO"/>
              </w:rPr>
            </w:pPr>
            <w:r w:rsidRPr="00924B3F">
              <w:rPr>
                <w:rFonts w:ascii="Cambria" w:eastAsia="Times New Roman" w:hAnsi="Cambria" w:cs="Arial"/>
                <w:sz w:val="20"/>
                <w:szCs w:val="20"/>
                <w:lang w:val="ro-RO"/>
              </w:rPr>
              <w:t>Alin.(1) din art.163 se modifică, iar articolul se completează cu un nou alineat, avînd următorul conţinut:</w:t>
            </w:r>
          </w:p>
          <w:p w:rsidR="00FA516C" w:rsidRPr="00924B3F" w:rsidRDefault="00FA516C" w:rsidP="00FF1EF8">
            <w:pPr>
              <w:spacing w:before="100" w:beforeAutospacing="1" w:after="100" w:afterAutospacing="1"/>
              <w:ind w:left="1134"/>
              <w:jc w:val="left"/>
              <w:rPr>
                <w:rFonts w:ascii="Cambria" w:eastAsia="Times New Roman" w:hAnsi="Cambria" w:cs="Arial"/>
                <w:sz w:val="20"/>
                <w:szCs w:val="20"/>
                <w:lang w:val="ro-RO"/>
              </w:rPr>
            </w:pPr>
            <w:r w:rsidRPr="00924B3F">
              <w:rPr>
                <w:rFonts w:ascii="Cambria" w:eastAsia="Times New Roman" w:hAnsi="Cambria" w:cs="Arial"/>
                <w:sz w:val="20"/>
                <w:szCs w:val="20"/>
                <w:lang w:val="ro-RO"/>
              </w:rPr>
              <w:t>(1) Reclamaţiile din cererea privind contestarea actelor de executare întocmite de executorul judecătoresc se înaintează împotriva creditorului sau debitorului. Cererea se judecă în condiţiile Codului de procedură civilă şi se examinează în instanţă de judecată (inclusiv în cea ierarhic superioară) în cel mult 30 de zile.</w:t>
            </w:r>
          </w:p>
          <w:p w:rsidR="00FA516C" w:rsidRPr="001679C9" w:rsidRDefault="00FA516C" w:rsidP="00FF1EF8">
            <w:pPr>
              <w:spacing w:before="100" w:beforeAutospacing="1" w:after="100" w:afterAutospacing="1"/>
              <w:ind w:left="1134"/>
              <w:jc w:val="left"/>
              <w:rPr>
                <w:rFonts w:ascii="Cambria" w:eastAsia="Times New Roman" w:hAnsi="Cambria" w:cs="Arial"/>
                <w:sz w:val="20"/>
                <w:szCs w:val="20"/>
                <w:lang w:val="ro-RO"/>
              </w:rPr>
            </w:pPr>
            <w:r w:rsidRPr="00924B3F">
              <w:rPr>
                <w:rFonts w:ascii="Cambria" w:eastAsia="Times New Roman" w:hAnsi="Cambria" w:cs="Arial"/>
                <w:sz w:val="20"/>
                <w:szCs w:val="20"/>
                <w:lang w:val="ro-RO"/>
              </w:rPr>
              <w:t>(1/1) În cazul în care obiectul contestaţiei este o inacţiune a executorului judecătoresc şi/sau cuantumul onorariului acestuia, cererea se înaintează împotriva executorului judecătoresc. În toate celelalte cazuri, executorul judecătoresc este introdus în proces în conformitate cu art.67 al(3) Cod de procedură civilă.</w:t>
            </w:r>
          </w:p>
        </w:tc>
      </w:tr>
      <w:tr w:rsidR="00FA516C" w:rsidRPr="007139C9" w:rsidTr="00FF1EF8">
        <w:tc>
          <w:tcPr>
            <w:tcW w:w="9571" w:type="dxa"/>
            <w:tcBorders>
              <w:left w:val="single" w:sz="4" w:space="0" w:color="F2F2F2"/>
              <w:right w:val="single" w:sz="4" w:space="0" w:color="F2F2F2"/>
            </w:tcBorders>
          </w:tcPr>
          <w:p w:rsidR="00FA516C" w:rsidRPr="00A81E50" w:rsidRDefault="00FA516C" w:rsidP="00FF1EF8">
            <w:pPr>
              <w:jc w:val="left"/>
              <w:rPr>
                <w:rFonts w:ascii="Cambria" w:hAnsi="Cambria" w:cs="Arial"/>
                <w:b/>
                <w:i/>
                <w:sz w:val="20"/>
                <w:szCs w:val="20"/>
                <w:lang w:val="ro-RO"/>
              </w:rPr>
            </w:pPr>
          </w:p>
          <w:p w:rsidR="00FA516C" w:rsidRPr="00A81E50" w:rsidRDefault="00FA516C" w:rsidP="00FF1EF8">
            <w:pPr>
              <w:jc w:val="left"/>
              <w:rPr>
                <w:rFonts w:ascii="Cambria" w:eastAsia="Times New Roman" w:hAnsi="Cambria" w:cs="Arial"/>
                <w:sz w:val="20"/>
                <w:szCs w:val="20"/>
                <w:lang w:val="ro-RO"/>
              </w:rPr>
            </w:pPr>
            <w:r w:rsidRPr="00A81E50">
              <w:rPr>
                <w:rFonts w:ascii="Cambria" w:hAnsi="Cambria" w:cs="Arial"/>
                <w:b/>
                <w:i/>
                <w:sz w:val="20"/>
                <w:szCs w:val="20"/>
                <w:lang w:val="ro-RO"/>
              </w:rPr>
              <w:t>Elementul de vulnerabilitate identificat şi recomandarea expertului:</w:t>
            </w:r>
            <w:r w:rsidRPr="00A81E50">
              <w:rPr>
                <w:rFonts w:ascii="Cambria" w:hAnsi="Cambria" w:cs="Arial"/>
                <w:b/>
                <w:sz w:val="20"/>
                <w:szCs w:val="20"/>
                <w:lang w:val="ro-RO"/>
              </w:rPr>
              <w:t xml:space="preserve">  </w:t>
            </w:r>
            <w:r w:rsidRPr="00A81E50">
              <w:rPr>
                <w:rFonts w:ascii="Cambria" w:eastAsia="Times New Roman" w:hAnsi="Cambria" w:cs="Arial"/>
                <w:sz w:val="20"/>
                <w:szCs w:val="20"/>
                <w:u w:val="single"/>
                <w:lang w:val="ro-RO"/>
              </w:rPr>
              <w:t>prevederi care limitează drepturile/libertăţile;</w:t>
            </w:r>
            <w:r w:rsidRPr="00A81E50">
              <w:rPr>
                <w:rFonts w:ascii="Cambria" w:eastAsia="Times New Roman" w:hAnsi="Cambria" w:cs="Arial"/>
                <w:sz w:val="20"/>
                <w:szCs w:val="20"/>
                <w:lang w:val="ro-RO"/>
              </w:rPr>
              <w:t xml:space="preserve"> prevederi necorespunzătoare normelor din legislaţia corelativă</w:t>
            </w:r>
          </w:p>
          <w:p w:rsidR="00FA516C" w:rsidRPr="00A81E50" w:rsidRDefault="00FA516C" w:rsidP="00FF1EF8">
            <w:pPr>
              <w:spacing w:before="100" w:beforeAutospacing="1" w:after="100" w:afterAutospacing="1"/>
              <w:rPr>
                <w:rFonts w:ascii="Cambria" w:eastAsia="Times New Roman" w:hAnsi="Cambria" w:cs="Arial"/>
                <w:sz w:val="20"/>
                <w:szCs w:val="20"/>
                <w:lang w:val="ro-RO"/>
              </w:rPr>
            </w:pPr>
            <w:r w:rsidRPr="00A81E50">
              <w:rPr>
                <w:rFonts w:ascii="Cambria" w:eastAsia="Times New Roman" w:hAnsi="Cambria" w:cs="Arial"/>
                <w:b/>
                <w:i/>
                <w:sz w:val="20"/>
                <w:szCs w:val="20"/>
                <w:lang w:val="ro-RO"/>
              </w:rPr>
              <w:t xml:space="preserve">Obiecţia expertului: </w:t>
            </w:r>
            <w:r w:rsidRPr="00A81E50">
              <w:rPr>
                <w:rFonts w:ascii="Cambria" w:eastAsia="Times New Roman" w:hAnsi="Cambria" w:cs="Arial"/>
                <w:sz w:val="20"/>
                <w:szCs w:val="20"/>
                <w:lang w:val="ro-RO"/>
              </w:rPr>
              <w:t>Modalitatea în care este expus pct.8 din proiect nu corespunde exigenţelor de tehnică legislativă stabilite de Legea nr.780/2001. Textul art.163 alin.(1) nu se modifică, după cum afirmă autorii, ci doar se exclude ultima propoziţie din textul actual al art.163 alin.(1) din Codul de executare. Referitor la alin.(1/1) propus de autori, notăm posibilitatea apariţiei în practică a unor eventuale situaţii confuze. Autorii propun ca executorii judecătoreşti să fie introduşi în proces în calitate de intervenienţi accesorii. Actualmente, cererea de chemare în judecată se înaintează faţă de creditor sau debitor, iar executorul este invitat să dea explicaţii referitor la actele contestate. Nu ne vom expune opinia asupra acestei opţiuni, întrucît aceasta a reprezentat logica Guvernului cînd a schimbat în 2010 întreg sistemul de executare din Republica Moldova. Însă, prin prisma calităţii procesuale de care dispun în prezent executorii judecătoreşti şi intenţiei autorilor de a acorda executorului calitatea procesuală de intervenient accesoriu, vor fi limitate acţiunile şi drepturile executorilor. Or, conform art.68 din Codul de procedură civilă, intervenientul accesoriu are drepturile şi obligaţiile procedurale ale părţii căreia i se alătură, cu excepţia dreptului de a modifica temeiul şi obiectul acţiunii, de a majora sau reduce cuantumul pretenţiilor din acţiune, precum şi de a renunţa la acţiune, de a recunoaşte acţiunea sau de a încheia tranzacţie, de a înainta acţiune reconvenţională sau de a cere executarea silită a hotărîrii, încheierii sau deciziei judecătoreşti.</w:t>
            </w:r>
          </w:p>
          <w:p w:rsidR="00FA516C" w:rsidRDefault="00FA516C" w:rsidP="00FF1EF8">
            <w:pPr>
              <w:pStyle w:val="NoSpacing"/>
              <w:rPr>
                <w:rFonts w:ascii="Cambria" w:hAnsi="Cambria"/>
                <w:sz w:val="20"/>
                <w:szCs w:val="20"/>
                <w:lang w:val="ro-RO"/>
              </w:rPr>
            </w:pPr>
            <w:r w:rsidRPr="00A81E50">
              <w:rPr>
                <w:rFonts w:ascii="Cambria" w:hAnsi="Cambria"/>
                <w:b/>
                <w:i/>
                <w:sz w:val="20"/>
                <w:szCs w:val="20"/>
                <w:lang w:val="fr-FR"/>
              </w:rPr>
              <w:t>Recomandarea:</w:t>
            </w:r>
            <w:r w:rsidRPr="00A81E50">
              <w:rPr>
                <w:rFonts w:ascii="Cambria" w:hAnsi="Cambria"/>
                <w:sz w:val="20"/>
                <w:szCs w:val="20"/>
                <w:lang w:val="fr-FR"/>
              </w:rPr>
              <w:t xml:space="preserve"> </w:t>
            </w:r>
            <w:r w:rsidRPr="00A81E50">
              <w:rPr>
                <w:rFonts w:ascii="Cambria" w:hAnsi="Cambria"/>
                <w:sz w:val="20"/>
                <w:szCs w:val="20"/>
                <w:lang w:val="ro-RO"/>
              </w:rPr>
              <w:t xml:space="preserve">Sugerăm excluderea sau reformularea textului normelor propuse pentru a fi aduse în concordanță cu exigenţele de tehnică legislativă. Referitor la intenţia autorilor de a acorda executorilor </w:t>
            </w:r>
            <w:r w:rsidRPr="00A81E50">
              <w:rPr>
                <w:rFonts w:ascii="Cambria" w:hAnsi="Cambria"/>
                <w:sz w:val="20"/>
                <w:szCs w:val="20"/>
                <w:lang w:val="ro-RO"/>
              </w:rPr>
              <w:lastRenderedPageBreak/>
              <w:t>judecătorești calitatea procesuală de intervenient accesoriu, o considerăm, la moment, inoportună, însă acest subiect este actual şi urmează a fi supus analizelor de specialitate, cu concursul autorităţilor publice relevante şi specialiştilor în domeniu, pentru a identifica soluţia optimă.</w:t>
            </w:r>
          </w:p>
          <w:p w:rsidR="00FA516C" w:rsidRPr="00A81E50" w:rsidRDefault="00FA516C" w:rsidP="00FF1EF8">
            <w:pPr>
              <w:pStyle w:val="NoSpacing"/>
              <w:rPr>
                <w:rFonts w:ascii="Cambria" w:hAnsi="Cambria"/>
                <w:sz w:val="20"/>
                <w:szCs w:val="20"/>
                <w:lang w:val="ro-RO"/>
              </w:rPr>
            </w:pPr>
          </w:p>
        </w:tc>
      </w:tr>
      <w:tr w:rsidR="00FA516C" w:rsidRPr="007139C9" w:rsidTr="00FF1EF8">
        <w:tc>
          <w:tcPr>
            <w:tcW w:w="9571" w:type="dxa"/>
            <w:tcBorders>
              <w:left w:val="single" w:sz="4" w:space="0" w:color="F2F2F2"/>
              <w:right w:val="single" w:sz="4" w:space="0" w:color="F2F2F2"/>
            </w:tcBorders>
          </w:tcPr>
          <w:p w:rsidR="00FA516C" w:rsidRPr="00A81E50" w:rsidRDefault="00FA516C" w:rsidP="00FF1EF8">
            <w:pPr>
              <w:pStyle w:val="NoSpacing"/>
              <w:rPr>
                <w:rFonts w:ascii="Cambria" w:hAnsi="Cambria"/>
                <w:sz w:val="20"/>
                <w:szCs w:val="20"/>
                <w:lang w:val="ro-RO"/>
              </w:rPr>
            </w:pPr>
          </w:p>
          <w:p w:rsidR="00FA516C" w:rsidRDefault="00FA516C" w:rsidP="00FF1EF8">
            <w:pPr>
              <w:pStyle w:val="NoSpacing"/>
              <w:rPr>
                <w:rFonts w:ascii="Cambria" w:hAnsi="Cambria"/>
                <w:sz w:val="20"/>
                <w:szCs w:val="20"/>
                <w:lang w:val="fr-FR"/>
              </w:rPr>
            </w:pPr>
            <w:r w:rsidRPr="00A81E50">
              <w:rPr>
                <w:rFonts w:ascii="Cambria" w:hAnsi="Cambria"/>
                <w:b/>
                <w:i/>
                <w:sz w:val="20"/>
                <w:szCs w:val="20"/>
                <w:lang w:val="ro-RO"/>
              </w:rPr>
              <w:t>Textul Legii adoptate:</w:t>
            </w:r>
            <w:r w:rsidRPr="00A81E50">
              <w:rPr>
                <w:rFonts w:ascii="Cambria" w:eastAsia="Times New Roman" w:hAnsi="Cambria"/>
                <w:sz w:val="20"/>
                <w:szCs w:val="20"/>
                <w:lang w:val="ro-RO"/>
              </w:rPr>
              <w:t xml:space="preserve"> </w:t>
            </w:r>
            <w:r w:rsidRPr="00A81E50">
              <w:rPr>
                <w:rFonts w:ascii="Cambria" w:hAnsi="Cambria"/>
                <w:sz w:val="20"/>
                <w:szCs w:val="20"/>
                <w:lang w:val="fr-FR"/>
              </w:rPr>
              <w:t>Modificările la articolul 163 din Codul de executare au fost excluse</w:t>
            </w:r>
          </w:p>
          <w:p w:rsidR="00FA516C" w:rsidRPr="00A92093" w:rsidRDefault="00FA516C" w:rsidP="00FF1EF8">
            <w:pPr>
              <w:pStyle w:val="NoSpacing"/>
              <w:rPr>
                <w:lang w:val="fr-FR"/>
              </w:rPr>
            </w:pP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7139C9">
      <w:pPr>
        <w:pStyle w:val="Heading1"/>
      </w:pPr>
      <w:bookmarkStart w:id="32" w:name="_Toc409790639"/>
      <w:r w:rsidRPr="00A81E50">
        <w:t>IV.6  Prevederi necorespunzătoare normelor constituţionale</w:t>
      </w:r>
      <w:bookmarkEnd w:id="32"/>
    </w:p>
    <w:p w:rsidR="00FA516C" w:rsidRDefault="00FA516C" w:rsidP="00FA516C">
      <w:pPr>
        <w:pStyle w:val="ListParagraph1"/>
        <w:spacing w:after="0" w:line="240" w:lineRule="auto"/>
        <w:ind w:left="0"/>
        <w:jc w:val="both"/>
        <w:rPr>
          <w:rFonts w:ascii="Cambria" w:hAnsi="Cambria" w:cs="Arial"/>
          <w:b/>
          <w:sz w:val="24"/>
          <w:szCs w:val="24"/>
        </w:rPr>
      </w:pPr>
    </w:p>
    <w:p w:rsidR="00FA516C" w:rsidRPr="009E0D9D" w:rsidRDefault="00FA516C" w:rsidP="00FA516C">
      <w:pPr>
        <w:rPr>
          <w:rFonts w:ascii="Cambria" w:hAnsi="Cambria" w:cs="Arial"/>
          <w:color w:val="000000"/>
          <w:sz w:val="24"/>
          <w:szCs w:val="24"/>
          <w:shd w:val="clear" w:color="auto" w:fill="FFFFFF"/>
          <w:lang w:val="ro-RO"/>
        </w:rPr>
      </w:pPr>
      <w:r w:rsidRPr="009E0D9D">
        <w:rPr>
          <w:rFonts w:ascii="Cambria" w:hAnsi="Cambria" w:cs="Arial"/>
          <w:color w:val="000000"/>
          <w:sz w:val="24"/>
          <w:szCs w:val="24"/>
          <w:shd w:val="clear" w:color="auto" w:fill="FFFFFF"/>
          <w:lang w:val="ro-RO"/>
        </w:rPr>
        <w:t xml:space="preserve">Actul normativ intern de bază, care garantează respectarea drepturilor omului în Republica Moldova este Constituţia. </w:t>
      </w:r>
      <w:r>
        <w:rPr>
          <w:rFonts w:ascii="Cambria" w:hAnsi="Cambria" w:cs="Arial"/>
          <w:color w:val="000000"/>
          <w:sz w:val="24"/>
          <w:szCs w:val="24"/>
          <w:shd w:val="clear" w:color="auto" w:fill="FFFFFF"/>
          <w:lang w:val="ro-RO"/>
        </w:rPr>
        <w:t xml:space="preserve">Aceasta </w:t>
      </w:r>
      <w:r w:rsidRPr="009E0D9D">
        <w:rPr>
          <w:rFonts w:ascii="Cambria" w:hAnsi="Cambria" w:cs="Arial"/>
          <w:color w:val="000000"/>
          <w:sz w:val="24"/>
          <w:szCs w:val="24"/>
          <w:shd w:val="clear" w:color="auto" w:fill="FFFFFF"/>
          <w:lang w:val="ro-RO"/>
        </w:rPr>
        <w:t>consacră atît drepturile şi libertăţile fundamentale, precum  şi corolarul lor, îndatoririle fundamentale. Includerea drepturilor în textul legii fundamentale se justifică prin importanţa lor, respectarea normei constituţionale impunîndu-se tuturor celorlalte acte normative, care asigură, la rîndul lor, detalierea drepturilor, libertăţilor şi îndatoririlor fundamentale</w:t>
      </w:r>
      <w:r>
        <w:rPr>
          <w:rStyle w:val="FootnoteReference"/>
          <w:rFonts w:ascii="Cambria" w:hAnsi="Cambria" w:cs="Arial"/>
          <w:color w:val="000000"/>
          <w:sz w:val="24"/>
          <w:szCs w:val="24"/>
          <w:shd w:val="clear" w:color="auto" w:fill="FFFFFF"/>
          <w:lang w:val="ro-RO"/>
        </w:rPr>
        <w:footnoteReference w:id="6"/>
      </w:r>
      <w:r w:rsidRPr="009E0D9D">
        <w:rPr>
          <w:rFonts w:ascii="Cambria" w:hAnsi="Cambria" w:cs="Arial"/>
          <w:color w:val="000000"/>
          <w:sz w:val="24"/>
          <w:szCs w:val="24"/>
          <w:shd w:val="clear" w:color="auto" w:fill="FFFFFF"/>
          <w:lang w:val="ro-RO"/>
        </w:rPr>
        <w:t>.</w:t>
      </w:r>
      <w:r>
        <w:rPr>
          <w:rFonts w:ascii="Cambria" w:hAnsi="Cambria" w:cs="Arial"/>
          <w:color w:val="000000"/>
          <w:sz w:val="24"/>
          <w:szCs w:val="24"/>
          <w:shd w:val="clear" w:color="auto" w:fill="FFFFFF"/>
          <w:lang w:val="ro-RO"/>
        </w:rPr>
        <w:t xml:space="preserve"> Astfel, din acest motiv, experţii au identificat în proiectele actelor legislative prevederile necorespunzătoare normelor constituţionale. </w:t>
      </w:r>
      <w:r w:rsidRPr="009E0D9D">
        <w:rPr>
          <w:rFonts w:ascii="Cambria" w:hAnsi="Cambria" w:cs="Arial"/>
          <w:color w:val="000000"/>
          <w:sz w:val="24"/>
          <w:szCs w:val="24"/>
          <w:shd w:val="clear" w:color="auto" w:fill="FFFFFF"/>
          <w:lang w:val="ro-RO"/>
        </w:rPr>
        <w:t xml:space="preserve"> </w:t>
      </w:r>
    </w:p>
    <w:p w:rsidR="00FA516C" w:rsidRDefault="00FA516C" w:rsidP="00FA516C">
      <w:pPr>
        <w:pStyle w:val="ListParagraph1"/>
        <w:spacing w:after="0" w:line="240" w:lineRule="auto"/>
        <w:ind w:left="0"/>
        <w:jc w:val="both"/>
        <w:rPr>
          <w:rFonts w:ascii="Cambria" w:hAnsi="Cambria" w:cs="Arial"/>
          <w:b/>
          <w:sz w:val="24"/>
          <w:szCs w:val="24"/>
        </w:rPr>
      </w:pPr>
    </w:p>
    <w:p w:rsidR="00FA516C" w:rsidRPr="00B0496C" w:rsidRDefault="00FA516C" w:rsidP="00FA516C">
      <w:pPr>
        <w:pStyle w:val="ListParagraph1"/>
        <w:spacing w:after="0" w:line="240" w:lineRule="auto"/>
        <w:ind w:left="0"/>
        <w:jc w:val="both"/>
        <w:rPr>
          <w:rFonts w:ascii="Cambria" w:hAnsi="Cambria" w:cs="Arial"/>
          <w:sz w:val="24"/>
          <w:szCs w:val="24"/>
        </w:rPr>
      </w:pPr>
      <w:r w:rsidRPr="00B0496C">
        <w:rPr>
          <w:rFonts w:ascii="Cambria" w:hAnsi="Cambria" w:cs="Arial"/>
          <w:i/>
          <w:sz w:val="24"/>
          <w:szCs w:val="24"/>
        </w:rPr>
        <w:t>Prevederi necorespunzătoare normelor constituţionale</w:t>
      </w:r>
      <w:r>
        <w:rPr>
          <w:rFonts w:ascii="Cambria" w:hAnsi="Cambria" w:cs="Arial"/>
          <w:sz w:val="24"/>
          <w:szCs w:val="24"/>
        </w:rPr>
        <w:t xml:space="preserve"> sunt normele care contravin direct sau indirect prevederilor Constituţiei Republicii Moldova.</w:t>
      </w:r>
    </w:p>
    <w:p w:rsidR="00FA516C" w:rsidRDefault="00FA516C" w:rsidP="00FA516C">
      <w:pPr>
        <w:pStyle w:val="ListParagraph1"/>
        <w:spacing w:after="0" w:line="240" w:lineRule="auto"/>
        <w:ind w:left="0"/>
        <w:jc w:val="both"/>
        <w:rPr>
          <w:rFonts w:ascii="Cambria" w:hAnsi="Cambria" w:cs="Arial"/>
          <w:b/>
          <w:sz w:val="24"/>
          <w:szCs w:val="24"/>
        </w:rPr>
      </w:pPr>
    </w:p>
    <w:p w:rsidR="00FA516C" w:rsidRPr="00AE6DEB" w:rsidRDefault="00FA516C" w:rsidP="00FA516C">
      <w:pPr>
        <w:pStyle w:val="ListParagraph1"/>
        <w:spacing w:after="0" w:line="240" w:lineRule="auto"/>
        <w:ind w:left="0"/>
        <w:jc w:val="both"/>
        <w:rPr>
          <w:rFonts w:ascii="Cambria" w:hAnsi="Cambria" w:cs="Arial"/>
          <w:sz w:val="24"/>
          <w:szCs w:val="24"/>
        </w:rPr>
      </w:pPr>
      <w:r w:rsidRPr="00AE6DEB">
        <w:rPr>
          <w:rFonts w:ascii="Cambria" w:hAnsi="Cambria" w:cs="Arial"/>
          <w:sz w:val="24"/>
          <w:szCs w:val="24"/>
        </w:rPr>
        <w:t>Pericolul acestui element constă</w:t>
      </w:r>
      <w:r>
        <w:rPr>
          <w:rFonts w:ascii="Cambria" w:hAnsi="Cambria" w:cs="Arial"/>
          <w:sz w:val="24"/>
          <w:szCs w:val="24"/>
        </w:rPr>
        <w:t xml:space="preserve"> pe de o parte în probabilitatea încălcării unor drepturi şi libertăţi prevăzute de Constituţie, iar pe de altă parte în lipsa stabilităţii cadrului legal, deoarece o normă/lege poate fi declarată neconstituţională.</w:t>
      </w: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r w:rsidRPr="00E537C1">
        <w:rPr>
          <w:rFonts w:ascii="Cambria" w:hAnsi="Cambria" w:cs="Arial"/>
          <w:b/>
          <w:i/>
          <w:sz w:val="16"/>
          <w:szCs w:val="16"/>
        </w:rPr>
        <w:t xml:space="preserve">Tabel </w:t>
      </w:r>
      <w:r>
        <w:rPr>
          <w:rFonts w:ascii="Cambria" w:hAnsi="Cambria" w:cs="Arial"/>
          <w:b/>
          <w:i/>
          <w:sz w:val="16"/>
          <w:szCs w:val="16"/>
        </w:rPr>
        <w:t>6.</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w:t>
      </w:r>
      <w:r w:rsidRPr="00BA3083">
        <w:rPr>
          <w:rFonts w:ascii="Cambria" w:hAnsi="Cambria" w:cs="Arial"/>
          <w:i/>
          <w:sz w:val="16"/>
          <w:szCs w:val="16"/>
        </w:rPr>
        <w:t>necorespunzătoare normelor constituţionale</w:t>
      </w:r>
      <w:r>
        <w:rPr>
          <w:rFonts w:ascii="Cambria" w:hAnsi="Cambria" w:cs="Arial"/>
          <w:i/>
          <w:sz w:val="16"/>
          <w:szCs w:val="16"/>
        </w:rPr>
        <w:t xml:space="preserve"> </w:t>
      </w:r>
      <w:r w:rsidRPr="00A81E50">
        <w:rPr>
          <w:rFonts w:ascii="Cambria" w:hAnsi="Cambria" w:cs="Arial"/>
          <w:i/>
          <w:sz w:val="16"/>
          <w:szCs w:val="16"/>
        </w:rPr>
        <w:t xml:space="preserve"> </w:t>
      </w:r>
      <w:r>
        <w:rPr>
          <w:rFonts w:ascii="Cambria" w:hAnsi="Cambria" w:cs="Arial"/>
          <w:i/>
          <w:sz w:val="16"/>
          <w:szCs w:val="16"/>
        </w:rPr>
        <w:t>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Justiţie şi afaceri interne, drepturile şi libertăţile omului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40</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8</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37,5%</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100%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75%</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17</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17</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8</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47,06%</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Legislaţia muncii, asigurarea socială şi ocrotirea sănătăţii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18</w:t>
            </w:r>
          </w:p>
        </w:tc>
      </w:tr>
      <w:tr w:rsidR="00FA516C" w:rsidRPr="00A11856"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p w:rsidR="00FA516C" w:rsidRPr="006B73E7" w:rsidRDefault="00FA516C" w:rsidP="00FA516C">
      <w:pPr>
        <w:shd w:val="clear" w:color="auto" w:fill="8DB3E2"/>
        <w:rPr>
          <w:rFonts w:ascii="Cambria" w:eastAsia="Times New Roman" w:hAnsi="Cambria"/>
          <w:lang w:val="ro-RO" w:eastAsia="ru-RU"/>
        </w:rPr>
      </w:pPr>
      <w:r w:rsidRPr="006B73E7">
        <w:rPr>
          <w:rFonts w:ascii="Cambria" w:hAnsi="Cambria" w:cs="Arial"/>
          <w:b/>
          <w:i/>
          <w:sz w:val="24"/>
          <w:szCs w:val="24"/>
          <w:lang w:val="ro-RO"/>
        </w:rPr>
        <w:t>Exemplu:</w:t>
      </w:r>
      <w:r w:rsidRPr="006B73E7">
        <w:rPr>
          <w:rFonts w:ascii="Cambria" w:hAnsi="Cambria" w:cs="Arial"/>
          <w:sz w:val="24"/>
          <w:szCs w:val="24"/>
          <w:lang w:val="ro-RO"/>
        </w:rPr>
        <w:t xml:space="preserve"> </w:t>
      </w:r>
      <w:r w:rsidRPr="006B73E7">
        <w:rPr>
          <w:rFonts w:ascii="Cambria" w:eastAsia="Times New Roman" w:hAnsi="Cambria"/>
          <w:lang w:val="ro-RO" w:eastAsia="ru-RU"/>
        </w:rPr>
        <w:t xml:space="preserve">Legea nr. 343  din  24.12.2013 pentru modificarea şi completarea unor acte legislative </w:t>
      </w:r>
      <w:r>
        <w:rPr>
          <w:rFonts w:ascii="Cambria" w:eastAsia="Times New Roman" w:hAnsi="Cambria"/>
          <w:lang w:val="ro-RO" w:eastAsia="ru-RU"/>
        </w:rPr>
        <w:t>(</w:t>
      </w:r>
      <w:r w:rsidRPr="006B73E7">
        <w:rPr>
          <w:rFonts w:ascii="Cambria" w:eastAsia="Times New Roman" w:hAnsi="Cambria"/>
          <w:lang w:val="ro-RO" w:eastAsia="ru-RU"/>
        </w:rPr>
        <w:t>Legea nr.548-XIII din 21 iulie 1995 cu privire la Banca Naţională a Moldovei; Legea contenciosului administrativ nr.793-XIV din 10 februarie 2000; Codul de procedură civilă al Republicii Moldova nr.225-XV din 30 mai 2003</w:t>
      </w:r>
      <w:r>
        <w:rPr>
          <w:rFonts w:ascii="Cambria" w:eastAsia="Times New Roman" w:hAnsi="Cambria"/>
          <w:lang w:val="ro-RO" w:eastAsia="ru-RU"/>
        </w:rPr>
        <w:t>)</w:t>
      </w:r>
      <w:r w:rsidRPr="006B73E7">
        <w:rPr>
          <w:rFonts w:ascii="Cambria" w:eastAsia="Times New Roman" w:hAnsi="Cambria"/>
          <w:lang w:val="ro-RO" w:eastAsia="ru-RU"/>
        </w:rPr>
        <w:t xml:space="preserve"> </w:t>
      </w:r>
    </w:p>
    <w:p w:rsidR="00FA516C" w:rsidRDefault="00FA516C" w:rsidP="00FA516C">
      <w:pPr>
        <w:rPr>
          <w:rFonts w:ascii="Cambria" w:hAnsi="Cambria"/>
          <w:lang w:val="ro-RO"/>
        </w:rPr>
      </w:pPr>
    </w:p>
    <w:p w:rsidR="00FA516C" w:rsidRPr="00E759E7" w:rsidRDefault="00FA516C" w:rsidP="00FA516C">
      <w:pPr>
        <w:rPr>
          <w:rFonts w:ascii="Cambria" w:hAnsi="Cambria"/>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7139C9" w:rsidTr="00FF1EF8">
        <w:tc>
          <w:tcPr>
            <w:tcW w:w="9571" w:type="dxa"/>
            <w:tcBorders>
              <w:left w:val="single" w:sz="4" w:space="0" w:color="F2F2F2"/>
              <w:right w:val="single" w:sz="4" w:space="0" w:color="F2F2F2"/>
            </w:tcBorders>
          </w:tcPr>
          <w:p w:rsidR="00FA516C" w:rsidRPr="00BA3083" w:rsidRDefault="00FA516C" w:rsidP="00FF1EF8">
            <w:pPr>
              <w:pStyle w:val="NoSpacing"/>
              <w:rPr>
                <w:rFonts w:ascii="Cambria" w:hAnsi="Cambria"/>
                <w:sz w:val="20"/>
                <w:szCs w:val="20"/>
                <w:lang w:val="ro-RO"/>
              </w:rPr>
            </w:pPr>
          </w:p>
          <w:p w:rsidR="00FA516C" w:rsidRPr="00BA3083" w:rsidRDefault="00FA516C" w:rsidP="00FF1EF8">
            <w:pPr>
              <w:pStyle w:val="NoSpacing"/>
              <w:rPr>
                <w:rFonts w:ascii="Cambria" w:hAnsi="Cambria"/>
                <w:b/>
                <w:i/>
                <w:sz w:val="20"/>
                <w:szCs w:val="20"/>
                <w:lang w:val="ro-RO"/>
              </w:rPr>
            </w:pPr>
            <w:r w:rsidRPr="00BA3083">
              <w:rPr>
                <w:rFonts w:ascii="Cambria" w:hAnsi="Cambria"/>
                <w:b/>
                <w:i/>
                <w:sz w:val="20"/>
                <w:szCs w:val="20"/>
                <w:lang w:val="fr-FR"/>
              </w:rPr>
              <w:t>Textul proiectului:</w:t>
            </w:r>
            <w:r w:rsidRPr="00BA3083">
              <w:rPr>
                <w:rFonts w:ascii="Cambria" w:hAnsi="Cambria"/>
                <w:b/>
                <w:i/>
                <w:sz w:val="20"/>
                <w:szCs w:val="20"/>
                <w:lang w:val="ro-RO"/>
              </w:rPr>
              <w:t xml:space="preserve">  </w:t>
            </w:r>
          </w:p>
          <w:p w:rsidR="00FA516C" w:rsidRPr="00BA3083" w:rsidRDefault="00FA516C" w:rsidP="00FF1EF8">
            <w:pPr>
              <w:pStyle w:val="NoSpacing"/>
              <w:rPr>
                <w:rFonts w:ascii="Cambria" w:hAnsi="Cambria"/>
                <w:sz w:val="20"/>
                <w:szCs w:val="20"/>
                <w:lang w:val="ro-RO"/>
              </w:rPr>
            </w:pPr>
          </w:p>
          <w:p w:rsidR="00FA516C" w:rsidRPr="00BA3083" w:rsidRDefault="00FA516C" w:rsidP="00FF1EF8">
            <w:pPr>
              <w:pStyle w:val="NoSpacing"/>
              <w:ind w:left="993"/>
              <w:rPr>
                <w:rFonts w:ascii="Cambria" w:eastAsia="Times New Roman" w:hAnsi="Cambria"/>
                <w:sz w:val="20"/>
                <w:szCs w:val="20"/>
                <w:lang w:val="fr-FR" w:eastAsia="ru-RU"/>
              </w:rPr>
            </w:pPr>
            <w:r w:rsidRPr="00BA3083">
              <w:rPr>
                <w:rFonts w:ascii="Cambria" w:eastAsia="Times New Roman" w:hAnsi="Cambria"/>
                <w:sz w:val="20"/>
                <w:szCs w:val="20"/>
                <w:lang w:val="fr-FR" w:eastAsia="ru-RU"/>
              </w:rPr>
              <w:t>3. La articolul 23 alineatul (3) va avea următorul cuprins:</w:t>
            </w:r>
          </w:p>
          <w:p w:rsidR="00FA516C" w:rsidRDefault="00FA516C" w:rsidP="00FF1EF8">
            <w:pPr>
              <w:pStyle w:val="NoSpacing"/>
              <w:ind w:left="993"/>
              <w:rPr>
                <w:rFonts w:ascii="Cambria" w:eastAsia="Times New Roman" w:hAnsi="Cambria"/>
                <w:sz w:val="20"/>
                <w:szCs w:val="20"/>
                <w:lang w:val="fr-FR" w:eastAsia="ru-RU"/>
              </w:rPr>
            </w:pPr>
            <w:r w:rsidRPr="00BA3083">
              <w:rPr>
                <w:rFonts w:ascii="Cambria" w:eastAsia="Times New Roman" w:hAnsi="Cambria"/>
                <w:sz w:val="20"/>
                <w:szCs w:val="20"/>
                <w:lang w:val="fr-FR" w:eastAsia="ru-RU"/>
              </w:rPr>
              <w:t>"(3) Cererile de contestare a actelor prevăzute la art.11 alin.(4) din Legea nr.548-XIII din 21 iulie 1995 cu privire la Banca Naţională a Moldovei se examinează de instanţa de judecată doar sub aspectul procedurii de adoptare, în termen de 3 luni din data depunerii..."</w:t>
            </w:r>
          </w:p>
          <w:p w:rsidR="00FA516C" w:rsidRPr="00BA3083" w:rsidRDefault="00FA516C" w:rsidP="00FF1EF8">
            <w:pPr>
              <w:pStyle w:val="NoSpacing"/>
              <w:rPr>
                <w:rFonts w:ascii="Cambria" w:eastAsia="Times New Roman" w:hAnsi="Cambria"/>
                <w:sz w:val="20"/>
                <w:szCs w:val="20"/>
                <w:lang w:val="fr-FR" w:eastAsia="ru-RU"/>
              </w:rPr>
            </w:pPr>
          </w:p>
        </w:tc>
      </w:tr>
      <w:tr w:rsidR="00FA516C" w:rsidRPr="007139C9" w:rsidTr="00FF1EF8">
        <w:tc>
          <w:tcPr>
            <w:tcW w:w="9571" w:type="dxa"/>
            <w:tcBorders>
              <w:left w:val="single" w:sz="4" w:space="0" w:color="F2F2F2"/>
              <w:right w:val="single" w:sz="4" w:space="0" w:color="F2F2F2"/>
            </w:tcBorders>
          </w:tcPr>
          <w:p w:rsidR="00FA516C" w:rsidRDefault="00FA516C" w:rsidP="00FF1EF8">
            <w:pPr>
              <w:pStyle w:val="NoSpacing"/>
              <w:rPr>
                <w:rFonts w:ascii="Cambria" w:eastAsia="Times New Roman" w:hAnsi="Cambria"/>
                <w:sz w:val="20"/>
                <w:szCs w:val="20"/>
                <w:lang w:val="ro-RO" w:eastAsia="ru-RU"/>
              </w:rPr>
            </w:pPr>
            <w:r w:rsidRPr="00BA3083">
              <w:rPr>
                <w:rFonts w:ascii="Cambria" w:hAnsi="Cambria" w:cs="Arial"/>
                <w:b/>
                <w:i/>
                <w:sz w:val="20"/>
                <w:szCs w:val="20"/>
                <w:lang w:val="ro-RO"/>
              </w:rPr>
              <w:t>Elementul de vulnerabilitate identificat şi recomandarea expertului</w:t>
            </w:r>
            <w:r w:rsidRPr="00BA3083">
              <w:rPr>
                <w:rFonts w:ascii="Cambria" w:hAnsi="Cambria" w:cs="Arial"/>
                <w:sz w:val="20"/>
                <w:szCs w:val="20"/>
                <w:lang w:val="ro-RO"/>
              </w:rPr>
              <w:t xml:space="preserve">:  </w:t>
            </w:r>
            <w:r w:rsidRPr="00BA3083">
              <w:rPr>
                <w:rFonts w:ascii="Cambria" w:eastAsia="Times New Roman" w:hAnsi="Cambria"/>
                <w:sz w:val="20"/>
                <w:szCs w:val="20"/>
                <w:u w:val="single"/>
                <w:lang w:val="ro-RO" w:eastAsia="ru-RU"/>
              </w:rPr>
              <w:t>prevederi necorespunzătoare normelor constituţionale</w:t>
            </w:r>
            <w:r w:rsidRPr="00BA3083">
              <w:rPr>
                <w:rFonts w:ascii="Cambria" w:eastAsia="Times New Roman" w:hAnsi="Cambria"/>
                <w:sz w:val="20"/>
                <w:szCs w:val="20"/>
                <w:lang w:val="ro-RO" w:eastAsia="ru-RU"/>
              </w:rPr>
              <w:t>; prevederi necorespunzătoare jurisprudenţei Curţii Constituţionale; prevederi necorespunzătoare jurisprudenţei CtEDO; prevederi necorespunzătoare normelor din legislaţia corelativă; prevederi care limitează drepturile/ libertăţile;  prevederi care încalcă drepturile/libertăţile;</w:t>
            </w:r>
          </w:p>
          <w:p w:rsidR="00FA516C" w:rsidRPr="00BA3083" w:rsidRDefault="00FA516C" w:rsidP="00FF1EF8">
            <w:pPr>
              <w:pStyle w:val="NoSpacing"/>
              <w:rPr>
                <w:rFonts w:ascii="Cambria" w:eastAsia="Times New Roman" w:hAnsi="Cambria"/>
                <w:sz w:val="20"/>
                <w:szCs w:val="20"/>
                <w:lang w:val="ro-RO" w:eastAsia="ru-RU"/>
              </w:rPr>
            </w:pPr>
          </w:p>
          <w:p w:rsidR="00FA516C" w:rsidRPr="00BA3083" w:rsidRDefault="00FA516C" w:rsidP="00FF1EF8">
            <w:pPr>
              <w:pStyle w:val="NoSpacing"/>
              <w:rPr>
                <w:rFonts w:ascii="Cambria" w:eastAsia="Times New Roman" w:hAnsi="Cambria"/>
                <w:sz w:val="20"/>
                <w:szCs w:val="20"/>
                <w:lang w:val="fr-FR" w:eastAsia="ru-RU"/>
              </w:rPr>
            </w:pPr>
            <w:r w:rsidRPr="00BA3083">
              <w:rPr>
                <w:rFonts w:ascii="Cambria" w:eastAsia="Times New Roman" w:hAnsi="Cambria" w:cs="Arial"/>
                <w:b/>
                <w:i/>
                <w:sz w:val="20"/>
                <w:szCs w:val="20"/>
                <w:lang w:val="ro-RO"/>
              </w:rPr>
              <w:t xml:space="preserve">Obiecţia expertului: </w:t>
            </w:r>
            <w:r w:rsidRPr="00BA3083">
              <w:rPr>
                <w:rFonts w:ascii="Cambria" w:eastAsia="Times New Roman" w:hAnsi="Cambria"/>
                <w:sz w:val="20"/>
                <w:szCs w:val="20"/>
                <w:lang w:val="ro-RO" w:eastAsia="ru-RU"/>
              </w:rPr>
              <w:t>Aceste reguli speciale de examinare în instan</w:t>
            </w:r>
            <w:r w:rsidRPr="00BA3083">
              <w:rPr>
                <w:rFonts w:ascii="Cambria" w:eastAsia="Times New Roman" w:hAnsi="Cambria" w:cs="Cambria Math"/>
                <w:sz w:val="20"/>
                <w:szCs w:val="20"/>
                <w:lang w:val="ro-RO" w:eastAsia="ru-RU"/>
              </w:rPr>
              <w:t>ț</w:t>
            </w:r>
            <w:r w:rsidRPr="00BA3083">
              <w:rPr>
                <w:rFonts w:ascii="Cambria" w:eastAsia="Times New Roman" w:hAnsi="Cambria"/>
                <w:sz w:val="20"/>
                <w:szCs w:val="20"/>
                <w:lang w:val="ro-RO" w:eastAsia="ru-RU"/>
              </w:rPr>
              <w:t>a de judecată a cererilor de contestare a actelor Băncii Na</w:t>
            </w:r>
            <w:r w:rsidRPr="00BA3083">
              <w:rPr>
                <w:rFonts w:ascii="Cambria" w:eastAsia="Times New Roman" w:hAnsi="Cambria" w:cs="Cambria Math"/>
                <w:sz w:val="20"/>
                <w:szCs w:val="20"/>
                <w:lang w:val="ro-RO" w:eastAsia="ru-RU"/>
              </w:rPr>
              <w:t>ț</w:t>
            </w:r>
            <w:r w:rsidRPr="00BA3083">
              <w:rPr>
                <w:rFonts w:ascii="Cambria" w:eastAsia="Times New Roman" w:hAnsi="Cambria"/>
                <w:sz w:val="20"/>
                <w:szCs w:val="20"/>
                <w:lang w:val="ro-RO" w:eastAsia="ru-RU"/>
              </w:rPr>
              <w:t xml:space="preserve">ionale intervin şi limitează competenţele instanţelor de judecată. …. </w:t>
            </w:r>
            <w:r w:rsidRPr="00BA3083">
              <w:rPr>
                <w:rFonts w:ascii="Cambria" w:eastAsia="Times New Roman" w:hAnsi="Cambria"/>
                <w:sz w:val="20"/>
                <w:szCs w:val="20"/>
                <w:lang w:val="fr-FR" w:eastAsia="ru-RU"/>
              </w:rPr>
              <w:t>Mai mult ca atît, aceste norme din proiect aduc atingere drepturilor garantate de Constitu</w:t>
            </w:r>
            <w:r w:rsidRPr="00BA3083">
              <w:rPr>
                <w:rFonts w:ascii="Cambria" w:eastAsia="Times New Roman" w:hAnsi="Cambria" w:cs="Cambria Math"/>
                <w:sz w:val="20"/>
                <w:szCs w:val="20"/>
                <w:lang w:val="fr-FR" w:eastAsia="ru-RU"/>
              </w:rPr>
              <w:t>ț</w:t>
            </w:r>
            <w:r w:rsidRPr="00BA3083">
              <w:rPr>
                <w:rFonts w:ascii="Cambria" w:eastAsia="Times New Roman" w:hAnsi="Cambria"/>
                <w:sz w:val="20"/>
                <w:szCs w:val="20"/>
                <w:lang w:val="fr-FR" w:eastAsia="ru-RU"/>
              </w:rPr>
              <w:t>ia Republicii Moldova, printre care dreptul la apărare, accesul liber la justiţie, dreptul persoanei vătămate de o autoritate publică. În conformitate cu art.20 din Constituţie, orice persoană are dreptul la satisfacţie efectivă din partea instanţelor judecătoreşti competente împotriva actelor care violează drepturile, libertăţile şi interesele sale legitime. Nici o lege nu poate îngrădi accesul la justiţie. Conform art.26 din legea fundamentală a statului, fiecare om are dreptul să reacţioneze independent, prin mijloace legitime, la încălcarea drepturilor şi libertăţilor sale. Iar, potrivit art.53, persoana vătămată într-un drept al său de o autoritate publică, printr-un act administrativ sau prin nesoluţionarea în termenul legal a unei cereri, este îndreptăţită să obţină recunoaşterea dreptului pretins, anularea actului şi repararea pagubei. În acest sens s-a pronunţat şi Curtea Constituţională în hotărîrea sa: ”unele prevederi derogatorii din cele supuse controlului constituţionalităţii constituie o restrîngere nejustificată impusă de legiuitor sub aspectul independenţei activităţii instanţelor judecătoreşti, iar limitarea prerogativei acordate reclamantului de a putea solicita instanţei suspendarea actului administrativ, ca măsură asiguratorie pînă la pronunţarea hotărîrii, face imposibilă apărarea persoanei împotriva încălcării neîntemeiate a drepturilor şi libertăţilor sale constituţionale şi nu creează garanţii suplimentare de asigurare a legalităţii, fapt ce contravine articolelor 6, 20 alin.(1) şi 114 din Constituţie.”</w:t>
            </w:r>
          </w:p>
          <w:p w:rsidR="00FA516C" w:rsidRDefault="00FA516C" w:rsidP="00FF1EF8">
            <w:pPr>
              <w:pStyle w:val="NoSpacing"/>
              <w:rPr>
                <w:rFonts w:ascii="Cambria" w:hAnsi="Cambria" w:cs="Arial"/>
                <w:sz w:val="20"/>
                <w:szCs w:val="20"/>
                <w:lang w:val="fr-FR"/>
              </w:rPr>
            </w:pPr>
          </w:p>
          <w:p w:rsidR="00FA516C" w:rsidRDefault="00FA516C" w:rsidP="00FF1EF8">
            <w:pPr>
              <w:pStyle w:val="NoSpacing"/>
              <w:rPr>
                <w:rFonts w:ascii="Cambria" w:hAnsi="Cambria" w:cs="Arial"/>
                <w:sz w:val="20"/>
                <w:szCs w:val="20"/>
                <w:lang w:val="fr-FR"/>
              </w:rPr>
            </w:pPr>
            <w:r w:rsidRPr="00BA3083">
              <w:rPr>
                <w:rFonts w:ascii="Cambria" w:hAnsi="Cambria" w:cs="Arial"/>
                <w:b/>
                <w:i/>
                <w:sz w:val="20"/>
                <w:szCs w:val="20"/>
                <w:lang w:val="fr-FR"/>
              </w:rPr>
              <w:t>Recomandarea:</w:t>
            </w:r>
            <w:r w:rsidRPr="00BA3083">
              <w:rPr>
                <w:rFonts w:ascii="Cambria" w:hAnsi="Cambria"/>
                <w:sz w:val="20"/>
                <w:szCs w:val="20"/>
                <w:lang w:val="fr-FR"/>
              </w:rPr>
              <w:t xml:space="preserve"> </w:t>
            </w:r>
            <w:r w:rsidRPr="00BA3083">
              <w:rPr>
                <w:rFonts w:ascii="Cambria" w:hAnsi="Cambria" w:cs="Arial"/>
                <w:sz w:val="20"/>
                <w:szCs w:val="20"/>
                <w:lang w:val="fr-FR"/>
              </w:rPr>
              <w:t>Este necesar de revizuit în totalitate aceste prevederi, pornind de la obiecţiile formulate mai sus, pentru a le aduce în concordanţă cu  dispoziţiile constituţionale şi cu cadrul juridic existent, cu sistemul de codificare şi unificare a legislaţiei.</w:t>
            </w:r>
          </w:p>
          <w:p w:rsidR="00FA516C" w:rsidRPr="00BA3083" w:rsidRDefault="00FA516C" w:rsidP="00FF1EF8">
            <w:pPr>
              <w:pStyle w:val="NoSpacing"/>
              <w:rPr>
                <w:rFonts w:ascii="Cambria" w:hAnsi="Cambria"/>
                <w:sz w:val="20"/>
                <w:szCs w:val="20"/>
                <w:lang w:val="fr-FR"/>
              </w:rPr>
            </w:pPr>
          </w:p>
        </w:tc>
      </w:tr>
      <w:tr w:rsidR="00FA516C" w:rsidRPr="007139C9" w:rsidTr="00FF1EF8">
        <w:tc>
          <w:tcPr>
            <w:tcW w:w="9571" w:type="dxa"/>
            <w:tcBorders>
              <w:left w:val="single" w:sz="4" w:space="0" w:color="F2F2F2"/>
              <w:right w:val="single" w:sz="4" w:space="0" w:color="F2F2F2"/>
            </w:tcBorders>
          </w:tcPr>
          <w:p w:rsidR="00FA516C" w:rsidRDefault="00FA516C" w:rsidP="00FF1EF8">
            <w:pPr>
              <w:pStyle w:val="NoSpacing"/>
              <w:rPr>
                <w:rFonts w:ascii="Cambria" w:hAnsi="Cambria" w:cs="Arial"/>
                <w:sz w:val="20"/>
                <w:szCs w:val="20"/>
                <w:lang w:val="ro-RO"/>
              </w:rPr>
            </w:pPr>
          </w:p>
          <w:p w:rsidR="00FA516C" w:rsidRPr="00BA3083" w:rsidRDefault="00FA516C" w:rsidP="00FF1EF8">
            <w:pPr>
              <w:pStyle w:val="NoSpacing"/>
              <w:rPr>
                <w:rFonts w:ascii="Cambria" w:hAnsi="Cambria" w:cs="Arial"/>
                <w:b/>
                <w:i/>
                <w:sz w:val="20"/>
                <w:szCs w:val="20"/>
                <w:lang w:val="ro-RO"/>
              </w:rPr>
            </w:pPr>
            <w:r w:rsidRPr="00BA3083">
              <w:rPr>
                <w:rFonts w:ascii="Cambria" w:hAnsi="Cambria" w:cs="Arial"/>
                <w:b/>
                <w:i/>
                <w:sz w:val="20"/>
                <w:szCs w:val="20"/>
                <w:lang w:val="ro-RO"/>
              </w:rPr>
              <w:t xml:space="preserve">Textul Legii adoptate: </w:t>
            </w:r>
          </w:p>
          <w:p w:rsidR="00FA516C" w:rsidRPr="00BA3083" w:rsidRDefault="00FA516C" w:rsidP="00FF1EF8">
            <w:pPr>
              <w:pStyle w:val="NoSpacing"/>
              <w:ind w:left="1134"/>
              <w:rPr>
                <w:rFonts w:ascii="Cambria" w:hAnsi="Cambria"/>
                <w:sz w:val="20"/>
                <w:szCs w:val="20"/>
                <w:lang w:val="fr-FR"/>
              </w:rPr>
            </w:pPr>
            <w:r w:rsidRPr="00BA3083">
              <w:rPr>
                <w:rFonts w:ascii="Cambria" w:hAnsi="Cambria"/>
                <w:sz w:val="20"/>
                <w:szCs w:val="20"/>
                <w:lang w:val="fr-FR"/>
              </w:rPr>
              <w:t xml:space="preserve">2. La articolul 23, alineatul (3) va avea următorul cuprins: </w:t>
            </w:r>
          </w:p>
          <w:p w:rsidR="00FA516C" w:rsidRDefault="00FA516C" w:rsidP="00FF1EF8">
            <w:pPr>
              <w:pStyle w:val="NoSpacing"/>
              <w:ind w:left="1134"/>
              <w:rPr>
                <w:rFonts w:ascii="Cambria" w:hAnsi="Cambria"/>
                <w:sz w:val="20"/>
                <w:szCs w:val="20"/>
                <w:lang w:val="fr-FR"/>
              </w:rPr>
            </w:pPr>
            <w:r w:rsidRPr="00BA3083">
              <w:rPr>
                <w:rFonts w:ascii="Cambria" w:hAnsi="Cambria"/>
                <w:sz w:val="20"/>
                <w:szCs w:val="20"/>
                <w:lang w:val="fr-FR"/>
              </w:rPr>
              <w:t>“(3) Cererile de chemare în judecată împotriva actelor prevăzute la art.11 alin.(9) din Legea nr.548-XIII din 21 iulie 1995 cu privire la Banca Naţională a Moldovei se examinează în termen de 3 luni de la data depunerii.</w:t>
            </w:r>
          </w:p>
          <w:p w:rsidR="00FA516C" w:rsidRPr="00BA3083" w:rsidRDefault="00FA516C" w:rsidP="00FF1EF8">
            <w:pPr>
              <w:pStyle w:val="NoSpacing"/>
              <w:rPr>
                <w:rFonts w:ascii="Cambria" w:hAnsi="Cambria"/>
                <w:sz w:val="20"/>
                <w:szCs w:val="20"/>
                <w:lang w:val="fr-FR"/>
              </w:rPr>
            </w:pPr>
          </w:p>
        </w:tc>
      </w:tr>
    </w:tbl>
    <w:p w:rsidR="00FA516C" w:rsidRPr="00BA3083" w:rsidRDefault="00FA516C" w:rsidP="00FA516C">
      <w:pPr>
        <w:pStyle w:val="NoSpacing"/>
        <w:rPr>
          <w:rFonts w:ascii="Cambria" w:eastAsia="Times New Roman" w:hAnsi="Cambria"/>
          <w:sz w:val="20"/>
          <w:szCs w:val="20"/>
          <w:lang w:val="ro-RO" w:eastAsia="ru-RU"/>
        </w:rPr>
      </w:pPr>
    </w:p>
    <w:p w:rsidR="00FA516C" w:rsidRPr="005117F9" w:rsidRDefault="00FA516C" w:rsidP="007139C9">
      <w:pPr>
        <w:pStyle w:val="Heading1"/>
        <w:rPr>
          <w:lang w:val="en-US"/>
        </w:rPr>
      </w:pPr>
      <w:bookmarkStart w:id="33" w:name="_Toc409790640"/>
      <w:r w:rsidRPr="005117F9">
        <w:rPr>
          <w:lang w:val="en-US"/>
        </w:rPr>
        <w:lastRenderedPageBreak/>
        <w:t>IV.7 Prevederi necorespunzătoare normelor din legislaţia corelativă</w:t>
      </w:r>
      <w:bookmarkEnd w:id="33"/>
    </w:p>
    <w:p w:rsidR="00FA516C" w:rsidRDefault="00FA516C" w:rsidP="00FA516C">
      <w:pPr>
        <w:pStyle w:val="ListParagraph1"/>
        <w:spacing w:after="0" w:line="240" w:lineRule="auto"/>
        <w:ind w:left="0"/>
        <w:jc w:val="both"/>
        <w:rPr>
          <w:rFonts w:ascii="Cambria" w:hAnsi="Cambria" w:cs="Arial"/>
          <w:b/>
          <w:sz w:val="24"/>
          <w:szCs w:val="24"/>
        </w:rPr>
      </w:pPr>
    </w:p>
    <w:p w:rsidR="00FA516C" w:rsidRPr="00B0496C" w:rsidRDefault="00FA516C" w:rsidP="00FA516C">
      <w:pPr>
        <w:pStyle w:val="ListParagraph1"/>
        <w:spacing w:after="0" w:line="240" w:lineRule="auto"/>
        <w:ind w:left="0"/>
        <w:jc w:val="both"/>
        <w:rPr>
          <w:rFonts w:ascii="Cambria" w:hAnsi="Cambria" w:cs="Arial"/>
          <w:sz w:val="24"/>
          <w:szCs w:val="24"/>
        </w:rPr>
      </w:pPr>
      <w:r w:rsidRPr="003A3FEB">
        <w:rPr>
          <w:rFonts w:ascii="Cambria" w:hAnsi="Cambria" w:cs="Arial"/>
          <w:i/>
          <w:sz w:val="24"/>
          <w:szCs w:val="24"/>
        </w:rPr>
        <w:t>Prevederi necorespunzătoare normelor din legislaţia corelativă</w:t>
      </w:r>
      <w:r w:rsidRPr="003A3FEB">
        <w:rPr>
          <w:rFonts w:ascii="Cambria" w:hAnsi="Cambria" w:cs="Arial"/>
          <w:sz w:val="24"/>
          <w:szCs w:val="24"/>
        </w:rPr>
        <w:t xml:space="preserve"> </w:t>
      </w:r>
      <w:r>
        <w:rPr>
          <w:rFonts w:ascii="Cambria" w:hAnsi="Cambria" w:cs="Arial"/>
          <w:sz w:val="24"/>
          <w:szCs w:val="24"/>
        </w:rPr>
        <w:t>sunt normele care contravin direct sau indirect legislaţiei corelative.</w:t>
      </w:r>
    </w:p>
    <w:p w:rsidR="00FA516C" w:rsidRDefault="00FA516C" w:rsidP="00FA516C">
      <w:pPr>
        <w:pStyle w:val="ListParagraph1"/>
        <w:spacing w:after="0" w:line="240" w:lineRule="auto"/>
        <w:ind w:left="0"/>
        <w:jc w:val="both"/>
        <w:rPr>
          <w:rFonts w:ascii="Cambria" w:hAnsi="Cambria" w:cs="Arial"/>
          <w:b/>
          <w:sz w:val="24"/>
          <w:szCs w:val="24"/>
        </w:rPr>
      </w:pPr>
    </w:p>
    <w:p w:rsidR="00FA516C" w:rsidRPr="00AE6DEB" w:rsidRDefault="00FA516C" w:rsidP="00FA516C">
      <w:pPr>
        <w:pStyle w:val="ListParagraph1"/>
        <w:spacing w:after="0" w:line="240" w:lineRule="auto"/>
        <w:ind w:left="0"/>
        <w:jc w:val="both"/>
        <w:rPr>
          <w:rFonts w:ascii="Cambria" w:hAnsi="Cambria" w:cs="Arial"/>
          <w:sz w:val="24"/>
          <w:szCs w:val="24"/>
        </w:rPr>
      </w:pPr>
      <w:r w:rsidRPr="00AE6DEB">
        <w:rPr>
          <w:rFonts w:ascii="Cambria" w:hAnsi="Cambria" w:cs="Arial"/>
          <w:sz w:val="24"/>
          <w:szCs w:val="24"/>
        </w:rPr>
        <w:t>Pericolul acestui element constă</w:t>
      </w:r>
      <w:r>
        <w:rPr>
          <w:rFonts w:ascii="Cambria" w:hAnsi="Cambria" w:cs="Arial"/>
          <w:sz w:val="24"/>
          <w:szCs w:val="24"/>
        </w:rPr>
        <w:t xml:space="preserve"> în crearea unor impedimente în aplicarea corectă a legii, prin crearea premiselor pentru aplicarea selectivă a normelor.</w:t>
      </w:r>
    </w:p>
    <w:p w:rsidR="00FA516C" w:rsidRPr="003A3FEB" w:rsidRDefault="00FA516C" w:rsidP="00FA516C">
      <w:pPr>
        <w:pStyle w:val="ListParagraph1"/>
        <w:spacing w:after="0" w:line="240" w:lineRule="auto"/>
        <w:ind w:left="0"/>
        <w:jc w:val="both"/>
        <w:rPr>
          <w:rFonts w:ascii="Cambria" w:hAnsi="Cambria" w:cs="Arial"/>
          <w:sz w:val="24"/>
          <w:szCs w:val="24"/>
        </w:rPr>
      </w:pPr>
    </w:p>
    <w:p w:rsidR="00FA516C" w:rsidRDefault="00FA516C" w:rsidP="00FA516C">
      <w:pPr>
        <w:pStyle w:val="ListParagraph1"/>
        <w:spacing w:after="0" w:line="240" w:lineRule="auto"/>
        <w:ind w:left="0"/>
        <w:jc w:val="both"/>
        <w:rPr>
          <w:rFonts w:ascii="Cambria" w:hAnsi="Cambria" w:cs="Arial"/>
          <w:b/>
          <w:sz w:val="24"/>
          <w:szCs w:val="24"/>
        </w:rPr>
      </w:pPr>
      <w:r w:rsidRPr="00E537C1">
        <w:rPr>
          <w:rFonts w:ascii="Cambria" w:hAnsi="Cambria" w:cs="Arial"/>
          <w:b/>
          <w:i/>
          <w:sz w:val="16"/>
          <w:szCs w:val="16"/>
        </w:rPr>
        <w:t xml:space="preserve">Tabel </w:t>
      </w:r>
      <w:r>
        <w:rPr>
          <w:rFonts w:ascii="Cambria" w:hAnsi="Cambria" w:cs="Arial"/>
          <w:b/>
          <w:i/>
          <w:sz w:val="16"/>
          <w:szCs w:val="16"/>
        </w:rPr>
        <w:t>7.</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w:t>
      </w:r>
      <w:r w:rsidRPr="00BA3083">
        <w:rPr>
          <w:rFonts w:ascii="Cambria" w:hAnsi="Cambria" w:cs="Arial"/>
          <w:i/>
          <w:sz w:val="16"/>
          <w:szCs w:val="16"/>
        </w:rPr>
        <w:t>necorespunzătoare normelor din legislaţia corelativă</w:t>
      </w:r>
      <w:r>
        <w:rPr>
          <w:rFonts w:ascii="Cambria" w:hAnsi="Cambria" w:cs="Arial"/>
          <w:i/>
          <w:sz w:val="16"/>
          <w:szCs w:val="16"/>
        </w:rPr>
        <w:t xml:space="preserve"> 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Justiţie şi afaceri interne, drepturile şi libertăţile omului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97</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57,14%</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62</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14,29%</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80%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28</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27</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11</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40,74%</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Legislaţia muncii, asigurarea socială şi ocrotirea sănătăţii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49</w:t>
            </w:r>
          </w:p>
        </w:tc>
      </w:tr>
      <w:tr w:rsidR="00FA516C" w:rsidRPr="00A11856"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normelor din legislaţia corelativă,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12</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41,67%</w:t>
            </w:r>
          </w:p>
        </w:tc>
      </w:tr>
    </w:tbl>
    <w:p w:rsidR="00FA516C" w:rsidRDefault="00FA516C" w:rsidP="00FA516C">
      <w:pPr>
        <w:pStyle w:val="Heading3"/>
        <w:shd w:val="clear" w:color="auto" w:fill="8DB3E2"/>
        <w:jc w:val="both"/>
        <w:rPr>
          <w:rFonts w:ascii="Cambria" w:hAnsi="Cambria"/>
          <w:b w:val="0"/>
          <w:bCs w:val="0"/>
          <w:sz w:val="22"/>
          <w:szCs w:val="22"/>
          <w:lang w:val="ro-RO"/>
        </w:rPr>
      </w:pPr>
      <w:bookmarkStart w:id="34" w:name="_Toc409790375"/>
      <w:bookmarkStart w:id="35" w:name="_Toc409790471"/>
      <w:bookmarkStart w:id="36" w:name="_Toc409790641"/>
      <w:r w:rsidRPr="00AC2EA1">
        <w:rPr>
          <w:rFonts w:ascii="Cambria" w:hAnsi="Cambria"/>
          <w:bCs w:val="0"/>
          <w:i/>
          <w:sz w:val="22"/>
          <w:szCs w:val="22"/>
          <w:lang w:val="ro-RO"/>
        </w:rPr>
        <w:t>Exemplu</w:t>
      </w:r>
      <w:r w:rsidRPr="00AC2EA1">
        <w:rPr>
          <w:rFonts w:ascii="Cambria" w:hAnsi="Cambria"/>
          <w:b w:val="0"/>
          <w:bCs w:val="0"/>
          <w:sz w:val="22"/>
          <w:szCs w:val="22"/>
          <w:lang w:val="ro-RO"/>
        </w:rPr>
        <w:t>: Proiectul Legii cu privire la organizarea și funcționarea Serviciului național unic pentru apelurile de urgență 112</w:t>
      </w:r>
      <w:bookmarkEnd w:id="34"/>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7139C9" w:rsidTr="00FF1EF8">
        <w:tc>
          <w:tcPr>
            <w:tcW w:w="9571" w:type="dxa"/>
            <w:tcBorders>
              <w:left w:val="single" w:sz="4" w:space="0" w:color="F2F2F2"/>
              <w:right w:val="single" w:sz="4" w:space="0" w:color="F2F2F2"/>
            </w:tcBorders>
          </w:tcPr>
          <w:p w:rsidR="00FA516C" w:rsidRPr="00BA3083" w:rsidRDefault="00FA516C" w:rsidP="00FF1EF8">
            <w:pPr>
              <w:pStyle w:val="NoSpacing"/>
              <w:rPr>
                <w:rFonts w:ascii="Cambria" w:hAnsi="Cambria"/>
                <w:sz w:val="20"/>
                <w:szCs w:val="20"/>
                <w:lang w:val="ro-RO"/>
              </w:rPr>
            </w:pPr>
          </w:p>
          <w:p w:rsidR="00FA516C" w:rsidRPr="00BA3083" w:rsidRDefault="00FA516C" w:rsidP="00FF1EF8">
            <w:pPr>
              <w:pStyle w:val="NoSpacing"/>
              <w:rPr>
                <w:rFonts w:ascii="Cambria" w:hAnsi="Cambria"/>
                <w:b/>
                <w:i/>
                <w:sz w:val="20"/>
                <w:szCs w:val="20"/>
                <w:lang w:val="ro-RO"/>
              </w:rPr>
            </w:pPr>
            <w:r w:rsidRPr="00BA3083">
              <w:rPr>
                <w:rFonts w:ascii="Cambria" w:hAnsi="Cambria"/>
                <w:b/>
                <w:i/>
                <w:sz w:val="20"/>
                <w:szCs w:val="20"/>
                <w:lang w:val="ro-RO"/>
              </w:rPr>
              <w:t xml:space="preserve">Textul proiectului:  </w:t>
            </w:r>
          </w:p>
          <w:p w:rsidR="00FA516C" w:rsidRPr="00BA3083" w:rsidRDefault="00FA516C" w:rsidP="00FF1EF8">
            <w:pPr>
              <w:pStyle w:val="NoSpacing"/>
              <w:rPr>
                <w:rFonts w:ascii="Cambria" w:hAnsi="Cambria"/>
                <w:sz w:val="20"/>
                <w:szCs w:val="20"/>
                <w:lang w:val="ro-RO"/>
              </w:rPr>
            </w:pPr>
          </w:p>
          <w:p w:rsidR="00FA516C" w:rsidRPr="00BA3083" w:rsidRDefault="00FA516C" w:rsidP="00FF1EF8">
            <w:pPr>
              <w:pStyle w:val="NoSpacing"/>
              <w:ind w:left="1134"/>
              <w:rPr>
                <w:rFonts w:ascii="Cambria" w:hAnsi="Cambria"/>
                <w:sz w:val="20"/>
                <w:szCs w:val="20"/>
                <w:lang w:val="ro-RO" w:eastAsia="ru-RU"/>
              </w:rPr>
            </w:pPr>
            <w:r w:rsidRPr="00BA3083">
              <w:rPr>
                <w:rFonts w:ascii="Cambria" w:hAnsi="Cambria"/>
                <w:bCs/>
                <w:sz w:val="20"/>
                <w:szCs w:val="20"/>
                <w:lang w:val="ro-RO" w:eastAsia="ru-RU"/>
              </w:rPr>
              <w:t>Articolul 12</w:t>
            </w:r>
            <w:r w:rsidRPr="00BA3083">
              <w:rPr>
                <w:rFonts w:ascii="Cambria" w:hAnsi="Cambria"/>
                <w:sz w:val="20"/>
                <w:szCs w:val="20"/>
                <w:lang w:val="ro-RO" w:eastAsia="ru-RU"/>
              </w:rPr>
              <w:t>. Atribuțiile Comitetului</w:t>
            </w:r>
          </w:p>
          <w:p w:rsidR="00FA516C" w:rsidRPr="00BA3083" w:rsidRDefault="00FA516C" w:rsidP="00FF1EF8">
            <w:pPr>
              <w:pStyle w:val="NoSpacing"/>
              <w:ind w:left="1134"/>
              <w:rPr>
                <w:rFonts w:ascii="Cambria" w:hAnsi="Cambria"/>
                <w:sz w:val="20"/>
                <w:szCs w:val="20"/>
                <w:lang w:val="ro-RO" w:eastAsia="ru-RU"/>
              </w:rPr>
            </w:pPr>
            <w:r w:rsidRPr="00BA3083">
              <w:rPr>
                <w:rFonts w:ascii="Cambria" w:hAnsi="Cambria"/>
                <w:sz w:val="20"/>
                <w:szCs w:val="20"/>
                <w:lang w:val="ro-RO" w:eastAsia="ru-RU"/>
              </w:rPr>
              <w:t>(1) Comitetul</w:t>
            </w:r>
            <w:r w:rsidRPr="00BA3083">
              <w:rPr>
                <w:rFonts w:ascii="Cambria" w:hAnsi="Cambria"/>
                <w:bCs/>
                <w:iCs/>
                <w:sz w:val="20"/>
                <w:szCs w:val="20"/>
                <w:lang w:val="ro-RO" w:eastAsia="ru-RU"/>
              </w:rPr>
              <w:t xml:space="preserve"> coordonează, monitorizează</w:t>
            </w:r>
            <w:r w:rsidRPr="00BA3083">
              <w:rPr>
                <w:rFonts w:ascii="Cambria" w:hAnsi="Cambria"/>
                <w:sz w:val="20"/>
                <w:szCs w:val="20"/>
                <w:lang w:val="ro-RO" w:eastAsia="ru-RU"/>
              </w:rPr>
              <w:t xml:space="preserve"> şi </w:t>
            </w:r>
            <w:r w:rsidRPr="00BA3083">
              <w:rPr>
                <w:rFonts w:ascii="Cambria" w:hAnsi="Cambria"/>
                <w:bCs/>
                <w:iCs/>
                <w:sz w:val="20"/>
                <w:szCs w:val="20"/>
                <w:lang w:val="ro-RO" w:eastAsia="ru-RU"/>
              </w:rPr>
              <w:t>analizează</w:t>
            </w:r>
            <w:r w:rsidRPr="00BA3083">
              <w:rPr>
                <w:rFonts w:ascii="Cambria" w:hAnsi="Cambria"/>
                <w:sz w:val="20"/>
                <w:szCs w:val="20"/>
                <w:lang w:val="ro-RO" w:eastAsia="ru-RU"/>
              </w:rPr>
              <w:t xml:space="preserve"> interacţiunea tuturor instituţiilor implicate în procesul furnizării Serviciului de urgenţă 112.</w:t>
            </w:r>
          </w:p>
          <w:p w:rsidR="00FA516C" w:rsidRPr="00BA3083" w:rsidRDefault="00FA516C" w:rsidP="00FF1EF8">
            <w:pPr>
              <w:pStyle w:val="NoSpacing"/>
              <w:ind w:left="1134"/>
              <w:rPr>
                <w:rFonts w:ascii="Cambria" w:eastAsia="Times New Roman" w:hAnsi="Cambria"/>
                <w:sz w:val="20"/>
                <w:szCs w:val="20"/>
                <w:lang w:val="ro-RO" w:eastAsia="ru-RU"/>
              </w:rPr>
            </w:pPr>
            <w:r w:rsidRPr="00BA3083">
              <w:rPr>
                <w:rFonts w:ascii="Cambria" w:eastAsia="Times New Roman" w:hAnsi="Cambria"/>
                <w:sz w:val="20"/>
                <w:szCs w:val="20"/>
                <w:lang w:val="ro-RO" w:eastAsia="ru-RU"/>
              </w:rPr>
              <w:t xml:space="preserve">(2) Comitetul are rolul </w:t>
            </w:r>
            <w:r w:rsidRPr="00BA3083">
              <w:rPr>
                <w:rFonts w:ascii="Cambria" w:eastAsia="Times New Roman" w:hAnsi="Cambria"/>
                <w:bCs/>
                <w:iCs/>
                <w:sz w:val="20"/>
                <w:szCs w:val="20"/>
                <w:lang w:val="ro-RO" w:eastAsia="ru-RU"/>
              </w:rPr>
              <w:t>de a coordona şi de a elabora proiectele de acte normative</w:t>
            </w:r>
            <w:r w:rsidRPr="00BA3083">
              <w:rPr>
                <w:rFonts w:ascii="Cambria" w:eastAsia="Times New Roman" w:hAnsi="Cambria"/>
                <w:sz w:val="20"/>
                <w:szCs w:val="20"/>
                <w:lang w:val="ro-RO" w:eastAsia="ru-RU"/>
              </w:rPr>
              <w:t xml:space="preserve"> (regulamentele, reglementările tehnice, etc.) şi acordurile privind interacţiunea Serviciului 112 cu serviciile specializate de urgenţă.</w:t>
            </w:r>
          </w:p>
          <w:p w:rsidR="00FA516C" w:rsidRPr="00BA3083" w:rsidRDefault="00FA516C" w:rsidP="00FF1EF8">
            <w:pPr>
              <w:pStyle w:val="NoSpacing"/>
              <w:rPr>
                <w:rFonts w:ascii="Cambria" w:eastAsia="Times New Roman" w:hAnsi="Cambria"/>
                <w:sz w:val="20"/>
                <w:szCs w:val="20"/>
                <w:lang w:val="fr-FR" w:eastAsia="ru-RU"/>
              </w:rPr>
            </w:pPr>
          </w:p>
        </w:tc>
      </w:tr>
      <w:tr w:rsidR="00FA516C" w:rsidRPr="007139C9" w:rsidTr="00FF1EF8">
        <w:tc>
          <w:tcPr>
            <w:tcW w:w="9571" w:type="dxa"/>
            <w:tcBorders>
              <w:left w:val="single" w:sz="4" w:space="0" w:color="F2F2F2"/>
              <w:right w:val="single" w:sz="4" w:space="0" w:color="F2F2F2"/>
            </w:tcBorders>
          </w:tcPr>
          <w:p w:rsidR="00FA516C" w:rsidRPr="00FA516C" w:rsidRDefault="00FA516C" w:rsidP="00FF1EF8">
            <w:pPr>
              <w:pStyle w:val="NoSpacing"/>
              <w:rPr>
                <w:rFonts w:ascii="Cambria" w:hAnsi="Cambria" w:cs="Arial"/>
                <w:sz w:val="20"/>
                <w:szCs w:val="20"/>
                <w:lang w:val="fr-FR"/>
              </w:rPr>
            </w:pPr>
          </w:p>
          <w:p w:rsidR="00FA516C" w:rsidRPr="00FA516C" w:rsidRDefault="00FA516C" w:rsidP="00FF1EF8">
            <w:pPr>
              <w:pStyle w:val="NoSpacing"/>
              <w:rPr>
                <w:rFonts w:ascii="Cambria" w:hAnsi="Cambria"/>
                <w:sz w:val="20"/>
                <w:szCs w:val="20"/>
                <w:u w:val="single"/>
                <w:lang w:val="fr-FR" w:eastAsia="ru-RU"/>
              </w:rPr>
            </w:pPr>
            <w:r w:rsidRPr="00FA516C">
              <w:rPr>
                <w:rFonts w:ascii="Cambria" w:hAnsi="Cambria" w:cs="Arial"/>
                <w:b/>
                <w:i/>
                <w:sz w:val="20"/>
                <w:szCs w:val="20"/>
                <w:lang w:val="fr-FR"/>
              </w:rPr>
              <w:t>Elementul de vulnerabilitate identificat şi recomandarea expertului:</w:t>
            </w:r>
            <w:r w:rsidRPr="00FA516C">
              <w:rPr>
                <w:rFonts w:ascii="Cambria" w:hAnsi="Cambria" w:cs="Arial"/>
                <w:sz w:val="20"/>
                <w:szCs w:val="20"/>
                <w:lang w:val="fr-FR"/>
              </w:rPr>
              <w:t xml:space="preserve">  </w:t>
            </w:r>
            <w:r w:rsidRPr="00FA516C">
              <w:rPr>
                <w:rFonts w:ascii="Cambria" w:hAnsi="Cambria" w:cs="Arial"/>
                <w:sz w:val="20"/>
                <w:szCs w:val="20"/>
                <w:u w:val="single"/>
                <w:lang w:val="fr-FR"/>
              </w:rPr>
              <w:t>p</w:t>
            </w:r>
            <w:r w:rsidRPr="00FA516C">
              <w:rPr>
                <w:rFonts w:ascii="Cambria" w:hAnsi="Cambria"/>
                <w:sz w:val="20"/>
                <w:szCs w:val="20"/>
                <w:u w:val="single"/>
                <w:lang w:val="fr-FR" w:eastAsia="ru-RU"/>
              </w:rPr>
              <w:t>revederi necorespunzătoare normelor din legislaţia corelativă</w:t>
            </w:r>
          </w:p>
          <w:p w:rsidR="00FA516C" w:rsidRPr="00BA3083" w:rsidRDefault="00FA516C" w:rsidP="00FF1EF8">
            <w:pPr>
              <w:pStyle w:val="NoSpacing"/>
              <w:rPr>
                <w:rFonts w:ascii="Cambria" w:eastAsia="Times New Roman" w:hAnsi="Cambria"/>
                <w:sz w:val="20"/>
                <w:szCs w:val="20"/>
                <w:lang w:val="ro-RO" w:eastAsia="ru-RU"/>
              </w:rPr>
            </w:pPr>
          </w:p>
          <w:p w:rsidR="00FA516C" w:rsidRDefault="00FA516C" w:rsidP="00F71666">
            <w:pPr>
              <w:pStyle w:val="NoSpacing"/>
              <w:jc w:val="both"/>
              <w:rPr>
                <w:rFonts w:ascii="Cambria" w:hAnsi="Cambria"/>
                <w:sz w:val="20"/>
                <w:szCs w:val="20"/>
                <w:lang w:val="ro-RO" w:eastAsia="ru-RU"/>
              </w:rPr>
            </w:pPr>
            <w:r w:rsidRPr="00BA3083">
              <w:rPr>
                <w:rFonts w:ascii="Cambria" w:eastAsia="Times New Roman" w:hAnsi="Cambria" w:cs="Arial"/>
                <w:b/>
                <w:i/>
                <w:sz w:val="20"/>
                <w:szCs w:val="20"/>
                <w:lang w:val="ro-RO"/>
              </w:rPr>
              <w:t>Obiecţia expertului:</w:t>
            </w:r>
            <w:r w:rsidRPr="00BA3083">
              <w:rPr>
                <w:rFonts w:ascii="Cambria" w:hAnsi="Cambria"/>
                <w:sz w:val="20"/>
                <w:szCs w:val="20"/>
                <w:lang w:val="ro-RO" w:eastAsia="ru-RU"/>
              </w:rPr>
              <w:t xml:space="preserve"> Potrivit art. 21 din Legea cu privire la Guvern nr. 64-XII din 31 mai 1990 ministerele </w:t>
            </w:r>
            <w:r w:rsidRPr="00BA3083">
              <w:rPr>
                <w:rFonts w:ascii="Cambria" w:hAnsi="Cambria"/>
                <w:sz w:val="20"/>
                <w:szCs w:val="20"/>
                <w:lang w:val="ro-RO" w:eastAsia="ru-RU"/>
              </w:rPr>
              <w:lastRenderedPageBreak/>
              <w:t>sunt organele centrale de specialitate ale statului. Ele sînt conduse de miniştri, care poartă răspundere personală pentru îndeplinirea sarcinilor puse în seama lor. Ministerele transpun în viaţă, în baza legilor republicii, decretelor Preşedintelui Republicii Moldova, politica Guvernului, hotărîrile şi ordonanţele lui, conduc în limitele competenţei domeniile încredinţate şi sunt responsabile de activitatea lor. Astfel, potrivit pct. 2 din Regulamentul Ministerului Tehnologiilor Informaţionale şi Comunicaţiilor, aprobat prin Hotărîrea Guvernului nr. 30 din 10.01.2008, ministerul elaborează, promovează şi utilizează, în limitele competenţei, politica şi strategia de edificare a societăţii informaţionale şi exercită atribuţiile în domeniul informaţiei, informatizării, tehnologiilor informaţionale şi comunicaţiilor, formării şi utilizării resurselor informaţionale de stat, efectuează monitoringul şi coordonarea proiectelor şi programelor, ce ţin de competenţa sa. În același timp, conform lit. a) pct. 12 din actul normativ menționat, ministerul elaborează, aprobă, aplică, modifică sau abrogă în conformitate cu legislaţia în vigoare ordinele, dispoziţiile, regulamentele, instrucţiunile, regulile, reglementările tehnice şi alte acte normative pentru toţi participanţii la activităţile din domeniul informatizării, tehnologiilor informaţionale şi comunicaţiilor, formării şi utilizării resurselor informaţionale de stat, indiferent de subordonare şi forma de proprietate. În acest context, rolul de coordonare şi de elaborare a proiectelor de acte normative în domeniul comunicațiilor electronice îi este atribuit, prin lege, Ministerului Tehnologiilor Informaţionale şi Comunicaţiilor și nicidecum unei structuri interdepartamentale - Comitetului coordonator interdepartamental pentru asigurarea interacțiunii dintre Serviciul 112 și serviciile specializate de urgență.</w:t>
            </w:r>
          </w:p>
          <w:p w:rsidR="00FA516C" w:rsidRPr="00BA3083" w:rsidRDefault="00FA516C" w:rsidP="00FF1EF8">
            <w:pPr>
              <w:pStyle w:val="NoSpacing"/>
              <w:rPr>
                <w:rFonts w:ascii="Cambria" w:hAnsi="Cambria"/>
                <w:sz w:val="20"/>
                <w:szCs w:val="20"/>
                <w:lang w:val="ro-RO" w:eastAsia="ru-RU"/>
              </w:rPr>
            </w:pPr>
          </w:p>
          <w:p w:rsidR="00FA516C" w:rsidRDefault="00FA516C" w:rsidP="00FF1EF8">
            <w:pPr>
              <w:pStyle w:val="NoSpacing"/>
              <w:rPr>
                <w:rFonts w:ascii="Cambria" w:hAnsi="Cambria"/>
                <w:sz w:val="20"/>
                <w:szCs w:val="20"/>
                <w:lang w:val="en-US"/>
              </w:rPr>
            </w:pPr>
            <w:r w:rsidRPr="00BA3083">
              <w:rPr>
                <w:rFonts w:ascii="Cambria" w:hAnsi="Cambria" w:cs="Arial"/>
                <w:b/>
                <w:i/>
                <w:sz w:val="20"/>
                <w:szCs w:val="20"/>
                <w:lang w:val="en-US"/>
              </w:rPr>
              <w:t>Recomandarea:</w:t>
            </w:r>
            <w:r w:rsidRPr="00BA3083">
              <w:rPr>
                <w:rFonts w:ascii="Cambria" w:hAnsi="Cambria"/>
                <w:b/>
                <w:i/>
                <w:sz w:val="20"/>
                <w:szCs w:val="20"/>
                <w:lang w:val="en-US"/>
              </w:rPr>
              <w:t xml:space="preserve"> </w:t>
            </w:r>
            <w:r w:rsidRPr="00BA3083">
              <w:rPr>
                <w:rFonts w:ascii="Cambria" w:hAnsi="Cambria"/>
                <w:sz w:val="20"/>
                <w:szCs w:val="20"/>
                <w:lang w:val="en-US"/>
              </w:rPr>
              <w:t>Excluderea alin. (2) din proiect.</w:t>
            </w:r>
          </w:p>
          <w:p w:rsidR="00FA516C" w:rsidRPr="00BA3083" w:rsidRDefault="00FA516C" w:rsidP="00FF1EF8">
            <w:pPr>
              <w:pStyle w:val="NoSpacing"/>
              <w:rPr>
                <w:rFonts w:ascii="Cambria" w:hAnsi="Cambria"/>
                <w:sz w:val="20"/>
                <w:szCs w:val="20"/>
                <w:lang w:val="en-US"/>
              </w:rPr>
            </w:pPr>
          </w:p>
        </w:tc>
      </w:tr>
      <w:tr w:rsidR="00FA516C" w:rsidRPr="007139C9" w:rsidTr="00FF1EF8">
        <w:tc>
          <w:tcPr>
            <w:tcW w:w="9571" w:type="dxa"/>
            <w:tcBorders>
              <w:left w:val="single" w:sz="4" w:space="0" w:color="F2F2F2"/>
              <w:right w:val="single" w:sz="4" w:space="0" w:color="F2F2F2"/>
            </w:tcBorders>
          </w:tcPr>
          <w:p w:rsidR="00FA516C" w:rsidRDefault="00FA516C" w:rsidP="00FF1EF8">
            <w:pPr>
              <w:pStyle w:val="NormalWeb"/>
              <w:rPr>
                <w:rFonts w:ascii="Cambria" w:hAnsi="Cambria" w:cs="Arial"/>
                <w:b/>
                <w:i/>
                <w:sz w:val="20"/>
                <w:szCs w:val="20"/>
                <w:lang w:val="ro-RO"/>
              </w:rPr>
            </w:pPr>
          </w:p>
          <w:p w:rsidR="00FA516C" w:rsidRPr="004432AA" w:rsidRDefault="00FA516C" w:rsidP="00FF1EF8">
            <w:pPr>
              <w:pStyle w:val="NormalWeb"/>
              <w:rPr>
                <w:rFonts w:ascii="Cambria" w:hAnsi="Cambria"/>
                <w:sz w:val="20"/>
                <w:szCs w:val="20"/>
                <w:lang w:val="fr-FR"/>
              </w:rPr>
            </w:pPr>
            <w:r w:rsidRPr="001679C9">
              <w:rPr>
                <w:rFonts w:ascii="Cambria" w:hAnsi="Cambria" w:cs="Arial"/>
                <w:b/>
                <w:i/>
                <w:sz w:val="20"/>
                <w:szCs w:val="20"/>
                <w:lang w:val="ro-RO"/>
              </w:rPr>
              <w:t>Textul Legii adoptate:</w:t>
            </w:r>
            <w:r w:rsidRPr="00924B3F">
              <w:rPr>
                <w:rFonts w:ascii="Cambria" w:hAnsi="Cambria" w:cs="Arial"/>
                <w:sz w:val="20"/>
                <w:szCs w:val="20"/>
                <w:lang w:val="ro-RO"/>
              </w:rPr>
              <w:t xml:space="preserve"> </w:t>
            </w:r>
            <w:r w:rsidRPr="004432AA">
              <w:rPr>
                <w:rFonts w:ascii="Cambria" w:hAnsi="Cambria" w:cs="Arial"/>
                <w:sz w:val="20"/>
                <w:szCs w:val="20"/>
                <w:lang w:val="fr-FR"/>
              </w:rPr>
              <w:t>Proiectul a fost retras la 09.10.2014.</w:t>
            </w:r>
          </w:p>
          <w:p w:rsidR="00FA516C" w:rsidRPr="00A92093" w:rsidRDefault="00FA516C" w:rsidP="00FF1EF8">
            <w:pPr>
              <w:pStyle w:val="NormalWeb"/>
              <w:rPr>
                <w:rFonts w:ascii="Cambria" w:hAnsi="Cambria"/>
                <w:sz w:val="20"/>
                <w:szCs w:val="20"/>
                <w:lang w:val="fr-FR"/>
              </w:rPr>
            </w:pPr>
          </w:p>
        </w:tc>
      </w:tr>
    </w:tbl>
    <w:p w:rsidR="00FA516C" w:rsidRDefault="00FA516C" w:rsidP="007139C9">
      <w:pPr>
        <w:pStyle w:val="Heading1"/>
      </w:pPr>
      <w:bookmarkStart w:id="37" w:name="_Toc409790642"/>
      <w:r w:rsidRPr="00BA3083">
        <w:t>IV.8 Prevederi necorespunzăto</w:t>
      </w:r>
      <w:r>
        <w:t>are standardelor internaţionale</w:t>
      </w:r>
      <w:bookmarkEnd w:id="37"/>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sz w:val="24"/>
          <w:szCs w:val="24"/>
        </w:rPr>
      </w:pPr>
      <w:r w:rsidRPr="00593181">
        <w:rPr>
          <w:rFonts w:ascii="Cambria" w:hAnsi="Cambria" w:cs="Arial"/>
          <w:i/>
          <w:sz w:val="24"/>
          <w:szCs w:val="24"/>
        </w:rPr>
        <w:t>Prevederi necorespunzătoare standardelor internaţionale</w:t>
      </w:r>
      <w:r>
        <w:rPr>
          <w:rFonts w:ascii="Cambria" w:hAnsi="Cambria" w:cs="Arial"/>
          <w:i/>
          <w:sz w:val="24"/>
          <w:szCs w:val="24"/>
        </w:rPr>
        <w:t xml:space="preserve"> </w:t>
      </w:r>
      <w:r w:rsidRPr="0053086A">
        <w:rPr>
          <w:rFonts w:ascii="Cambria" w:hAnsi="Cambria" w:cs="Arial"/>
          <w:sz w:val="24"/>
          <w:szCs w:val="24"/>
        </w:rPr>
        <w:t xml:space="preserve">sunt normele </w:t>
      </w:r>
      <w:r>
        <w:rPr>
          <w:rFonts w:ascii="Cambria" w:hAnsi="Cambria" w:cs="Arial"/>
          <w:sz w:val="24"/>
          <w:szCs w:val="24"/>
        </w:rPr>
        <w:t>la elaborarea cărora nu s-a ţinut cont de tratatele internaţionale şi directivele UE relevante.</w:t>
      </w:r>
    </w:p>
    <w:p w:rsidR="00FA516C" w:rsidRDefault="00FA516C" w:rsidP="00FA516C">
      <w:pPr>
        <w:pStyle w:val="ListParagraph1"/>
        <w:spacing w:after="0" w:line="240" w:lineRule="auto"/>
        <w:ind w:left="0"/>
        <w:jc w:val="both"/>
        <w:rPr>
          <w:rFonts w:ascii="Cambria" w:hAnsi="Cambria" w:cs="Arial"/>
          <w:b/>
          <w:sz w:val="24"/>
          <w:szCs w:val="24"/>
        </w:rPr>
      </w:pPr>
      <w:r>
        <w:rPr>
          <w:rFonts w:ascii="Cambria" w:hAnsi="Cambria" w:cs="Arial"/>
          <w:b/>
          <w:sz w:val="24"/>
          <w:szCs w:val="24"/>
        </w:rPr>
        <w:t xml:space="preserve"> </w:t>
      </w:r>
    </w:p>
    <w:p w:rsidR="00FA516C" w:rsidRDefault="00FA516C" w:rsidP="00FA516C">
      <w:pPr>
        <w:pStyle w:val="ListParagraph1"/>
        <w:spacing w:after="0" w:line="240" w:lineRule="auto"/>
        <w:ind w:left="0"/>
        <w:jc w:val="both"/>
        <w:rPr>
          <w:rFonts w:ascii="Cambria" w:hAnsi="Cambria" w:cs="Arial"/>
          <w:b/>
          <w:sz w:val="24"/>
          <w:szCs w:val="24"/>
        </w:rPr>
      </w:pPr>
      <w:r w:rsidRPr="00EE742B">
        <w:rPr>
          <w:rFonts w:ascii="Cambria" w:hAnsi="Cambria" w:cs="Arial"/>
          <w:sz w:val="24"/>
          <w:szCs w:val="24"/>
        </w:rPr>
        <w:t>Pericolul acestui element</w:t>
      </w:r>
      <w:r>
        <w:rPr>
          <w:rFonts w:ascii="Cambria" w:hAnsi="Cambria" w:cs="Arial"/>
          <w:sz w:val="24"/>
          <w:szCs w:val="24"/>
        </w:rPr>
        <w:t xml:space="preserve"> constă în perpetuarea, prin autoritatea legii, a încălcărilor drepturilor omului. </w:t>
      </w:r>
    </w:p>
    <w:p w:rsidR="00FA516C" w:rsidRDefault="00FA516C" w:rsidP="00FA516C">
      <w:pPr>
        <w:pStyle w:val="ListParagraph1"/>
        <w:spacing w:after="0" w:line="240" w:lineRule="auto"/>
        <w:ind w:left="0"/>
        <w:jc w:val="both"/>
        <w:rPr>
          <w:rFonts w:ascii="Cambria" w:hAnsi="Cambria" w:cs="Arial"/>
          <w:b/>
          <w:sz w:val="24"/>
          <w:szCs w:val="24"/>
        </w:rPr>
      </w:pPr>
    </w:p>
    <w:p w:rsidR="00FA516C" w:rsidRPr="005C54D2" w:rsidRDefault="00FA516C" w:rsidP="00FA516C">
      <w:pPr>
        <w:pStyle w:val="ListParagraph1"/>
        <w:spacing w:after="0" w:line="240" w:lineRule="auto"/>
        <w:ind w:left="0"/>
        <w:jc w:val="both"/>
        <w:rPr>
          <w:rFonts w:ascii="Cambria" w:hAnsi="Cambria" w:cs="Arial"/>
          <w:i/>
          <w:sz w:val="16"/>
          <w:szCs w:val="16"/>
        </w:rPr>
      </w:pPr>
      <w:r w:rsidRPr="00E537C1">
        <w:rPr>
          <w:rFonts w:ascii="Cambria" w:hAnsi="Cambria" w:cs="Arial"/>
          <w:b/>
          <w:i/>
          <w:sz w:val="16"/>
          <w:szCs w:val="16"/>
        </w:rPr>
        <w:t xml:space="preserve">Tabel </w:t>
      </w:r>
      <w:r>
        <w:rPr>
          <w:rFonts w:ascii="Cambria" w:hAnsi="Cambria" w:cs="Arial"/>
          <w:b/>
          <w:i/>
          <w:sz w:val="16"/>
          <w:szCs w:val="16"/>
        </w:rPr>
        <w:t>8.</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w:t>
      </w:r>
      <w:r w:rsidRPr="00BA3083">
        <w:rPr>
          <w:rFonts w:ascii="Cambria" w:hAnsi="Cambria" w:cs="Arial"/>
          <w:i/>
          <w:sz w:val="16"/>
          <w:szCs w:val="16"/>
        </w:rPr>
        <w:t xml:space="preserve">necorespunzătoare </w:t>
      </w:r>
      <w:r w:rsidRPr="005C54D2">
        <w:rPr>
          <w:rFonts w:ascii="Cambria" w:hAnsi="Cambria" w:cs="Arial"/>
          <w:i/>
          <w:sz w:val="16"/>
          <w:szCs w:val="16"/>
        </w:rPr>
        <w:t>standardelor internaţionale</w:t>
      </w:r>
      <w:r>
        <w:rPr>
          <w:rFonts w:ascii="Cambria" w:hAnsi="Cambria" w:cs="Arial"/>
          <w:i/>
          <w:sz w:val="16"/>
          <w:szCs w:val="16"/>
        </w:rPr>
        <w:t xml:space="preserve"> 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Justiţie şi afaceri interne, drepturile şi libertăţile omului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22</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10</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30%</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8</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33,33%</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15</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9</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44,44%</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Legislaţia muncii, asigurarea socială şi ocrotirea sănătăţii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w:t>
            </w:r>
          </w:p>
        </w:tc>
      </w:tr>
      <w:tr w:rsidR="00FA516C" w:rsidRPr="00A11856"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standardelor internaţionale,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100%</w:t>
            </w: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hd w:val="clear" w:color="auto" w:fill="8DB3E2"/>
        <w:spacing w:after="0" w:line="240" w:lineRule="auto"/>
        <w:ind w:left="0"/>
        <w:jc w:val="both"/>
        <w:rPr>
          <w:rFonts w:ascii="Cambria" w:hAnsi="Cambria"/>
        </w:rPr>
      </w:pPr>
      <w:r w:rsidRPr="00043491">
        <w:rPr>
          <w:rFonts w:ascii="Cambria" w:hAnsi="Cambria" w:cs="Arial"/>
          <w:b/>
          <w:i/>
          <w:sz w:val="24"/>
          <w:szCs w:val="24"/>
        </w:rPr>
        <w:t>Exemplu:</w:t>
      </w:r>
      <w:r w:rsidRPr="002F0489">
        <w:rPr>
          <w:rFonts w:ascii="Cambria" w:hAnsi="Cambria" w:cs="Arial"/>
          <w:sz w:val="24"/>
          <w:szCs w:val="24"/>
        </w:rPr>
        <w:t xml:space="preserve"> </w:t>
      </w:r>
      <w:r w:rsidRPr="00E320F4">
        <w:rPr>
          <w:rFonts w:ascii="Cambria" w:hAnsi="Cambria"/>
        </w:rPr>
        <w:t>Legea</w:t>
      </w:r>
      <w:r w:rsidRPr="00043491">
        <w:rPr>
          <w:rFonts w:ascii="Cambria" w:hAnsi="Cambria"/>
        </w:rPr>
        <w:t xml:space="preserve"> </w:t>
      </w:r>
      <w:r w:rsidRPr="00E320F4">
        <w:rPr>
          <w:rFonts w:ascii="Cambria" w:hAnsi="Cambria"/>
        </w:rPr>
        <w:t>nr. 103  din  12.06.2014</w:t>
      </w:r>
      <w:r>
        <w:rPr>
          <w:rFonts w:ascii="Cambria" w:hAnsi="Cambria"/>
        </w:rPr>
        <w:t xml:space="preserve"> </w:t>
      </w:r>
      <w:r w:rsidRPr="00E320F4">
        <w:rPr>
          <w:rFonts w:ascii="Cambria" w:hAnsi="Cambria"/>
        </w:rPr>
        <w:t>pentru modificarea şi completarea Legii nr.42-XVI din 6 martie 2008 privind transplantul de organe, ţesuturi şi celule umane</w:t>
      </w:r>
    </w:p>
    <w:p w:rsidR="00FA516C" w:rsidRDefault="00FA516C" w:rsidP="00FA516C">
      <w:pPr>
        <w:pStyle w:val="ListParagraph1"/>
        <w:spacing w:after="0" w:line="240" w:lineRule="auto"/>
        <w:ind w:left="0"/>
        <w:jc w:val="both"/>
        <w:rPr>
          <w:rFonts w:ascii="Cambria" w:hAnsi="Cambria"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1679C9" w:rsidTr="00FF1EF8">
        <w:tc>
          <w:tcPr>
            <w:tcW w:w="9571" w:type="dxa"/>
            <w:tcBorders>
              <w:left w:val="single" w:sz="4" w:space="0" w:color="F2F2F2"/>
              <w:right w:val="single" w:sz="4" w:space="0" w:color="F2F2F2"/>
            </w:tcBorders>
          </w:tcPr>
          <w:p w:rsidR="00FA516C" w:rsidRPr="005C54D2" w:rsidRDefault="00FA516C" w:rsidP="00FF1EF8">
            <w:pPr>
              <w:pStyle w:val="NoSpacing"/>
              <w:rPr>
                <w:rFonts w:ascii="Cambria" w:hAnsi="Cambria" w:cs="Arial"/>
                <w:sz w:val="20"/>
                <w:szCs w:val="20"/>
                <w:lang w:val="en-US"/>
              </w:rPr>
            </w:pPr>
            <w:r w:rsidRPr="005C54D2">
              <w:rPr>
                <w:rFonts w:ascii="Cambria" w:hAnsi="Cambria"/>
                <w:b/>
                <w:i/>
                <w:sz w:val="20"/>
                <w:szCs w:val="20"/>
                <w:lang w:val="ro-RO"/>
              </w:rPr>
              <w:t>Textul proiectului:</w:t>
            </w:r>
            <w:r w:rsidRPr="005C54D2">
              <w:rPr>
                <w:rFonts w:ascii="Cambria" w:hAnsi="Cambria"/>
                <w:sz w:val="20"/>
                <w:szCs w:val="20"/>
                <w:lang w:val="ro-RO"/>
              </w:rPr>
              <w:t xml:space="preserve">  </w:t>
            </w:r>
            <w:r w:rsidRPr="005C54D2">
              <w:rPr>
                <w:rFonts w:ascii="Cambria" w:hAnsi="Cambria" w:cs="Arial"/>
                <w:sz w:val="20"/>
                <w:szCs w:val="20"/>
              </w:rPr>
              <w:t>Noţiunea "Recipient"</w:t>
            </w:r>
          </w:p>
        </w:tc>
      </w:tr>
      <w:tr w:rsidR="00FA516C" w:rsidRPr="007139C9" w:rsidTr="00FF1EF8">
        <w:tc>
          <w:tcPr>
            <w:tcW w:w="9571" w:type="dxa"/>
            <w:tcBorders>
              <w:left w:val="single" w:sz="4" w:space="0" w:color="F2F2F2"/>
              <w:right w:val="single" w:sz="4" w:space="0" w:color="F2F2F2"/>
            </w:tcBorders>
          </w:tcPr>
          <w:p w:rsidR="00FA516C" w:rsidRPr="00885EB9" w:rsidRDefault="00FA516C" w:rsidP="00FF1EF8">
            <w:pPr>
              <w:pStyle w:val="NoSpacing"/>
              <w:rPr>
                <w:rFonts w:ascii="Cambria" w:hAnsi="Cambria" w:cs="Arial"/>
                <w:b/>
                <w:i/>
                <w:sz w:val="20"/>
                <w:szCs w:val="20"/>
              </w:rPr>
            </w:pPr>
          </w:p>
          <w:p w:rsidR="00FA516C" w:rsidRPr="00F71666" w:rsidRDefault="00FA516C" w:rsidP="00FF1EF8">
            <w:pPr>
              <w:pStyle w:val="NoSpacing"/>
              <w:rPr>
                <w:rFonts w:ascii="Cambria" w:hAnsi="Cambria" w:cs="Arial"/>
                <w:b/>
                <w:i/>
                <w:sz w:val="20"/>
                <w:szCs w:val="20"/>
                <w:u w:val="single"/>
              </w:rPr>
            </w:pPr>
            <w:r w:rsidRPr="00FA516C">
              <w:rPr>
                <w:rFonts w:ascii="Cambria" w:hAnsi="Cambria" w:cs="Arial"/>
                <w:b/>
                <w:i/>
                <w:sz w:val="20"/>
                <w:szCs w:val="20"/>
                <w:lang w:val="fr-FR"/>
              </w:rPr>
              <w:t>Elementul</w:t>
            </w:r>
            <w:r w:rsidRPr="00F71666">
              <w:rPr>
                <w:rFonts w:ascii="Cambria" w:hAnsi="Cambria" w:cs="Arial"/>
                <w:b/>
                <w:i/>
                <w:sz w:val="20"/>
                <w:szCs w:val="20"/>
              </w:rPr>
              <w:t xml:space="preserve"> </w:t>
            </w:r>
            <w:r w:rsidRPr="00FA516C">
              <w:rPr>
                <w:rFonts w:ascii="Cambria" w:hAnsi="Cambria" w:cs="Arial"/>
                <w:b/>
                <w:i/>
                <w:sz w:val="20"/>
                <w:szCs w:val="20"/>
                <w:lang w:val="fr-FR"/>
              </w:rPr>
              <w:t>de</w:t>
            </w:r>
            <w:r w:rsidRPr="00F71666">
              <w:rPr>
                <w:rFonts w:ascii="Cambria" w:hAnsi="Cambria" w:cs="Arial"/>
                <w:b/>
                <w:i/>
                <w:sz w:val="20"/>
                <w:szCs w:val="20"/>
              </w:rPr>
              <w:t xml:space="preserve"> </w:t>
            </w:r>
            <w:r w:rsidRPr="00FA516C">
              <w:rPr>
                <w:rFonts w:ascii="Cambria" w:hAnsi="Cambria" w:cs="Arial"/>
                <w:b/>
                <w:i/>
                <w:sz w:val="20"/>
                <w:szCs w:val="20"/>
                <w:lang w:val="fr-FR"/>
              </w:rPr>
              <w:t>vulnerabilitate</w:t>
            </w:r>
            <w:r w:rsidRPr="00F71666">
              <w:rPr>
                <w:rFonts w:ascii="Cambria" w:hAnsi="Cambria" w:cs="Arial"/>
                <w:b/>
                <w:i/>
                <w:sz w:val="20"/>
                <w:szCs w:val="20"/>
              </w:rPr>
              <w:t xml:space="preserve"> </w:t>
            </w:r>
            <w:r w:rsidRPr="00FA516C">
              <w:rPr>
                <w:rFonts w:ascii="Cambria" w:hAnsi="Cambria" w:cs="Arial"/>
                <w:b/>
                <w:i/>
                <w:sz w:val="20"/>
                <w:szCs w:val="20"/>
                <w:lang w:val="fr-FR"/>
              </w:rPr>
              <w:t>identificat</w:t>
            </w:r>
            <w:r w:rsidRPr="00F71666">
              <w:rPr>
                <w:rFonts w:ascii="Cambria" w:hAnsi="Cambria" w:cs="Arial"/>
                <w:b/>
                <w:i/>
                <w:sz w:val="20"/>
                <w:szCs w:val="20"/>
              </w:rPr>
              <w:t xml:space="preserve"> ş</w:t>
            </w:r>
            <w:r w:rsidRPr="00FA516C">
              <w:rPr>
                <w:rFonts w:ascii="Cambria" w:hAnsi="Cambria" w:cs="Arial"/>
                <w:b/>
                <w:i/>
                <w:sz w:val="20"/>
                <w:szCs w:val="20"/>
                <w:lang w:val="fr-FR"/>
              </w:rPr>
              <w:t>i</w:t>
            </w:r>
            <w:r w:rsidRPr="00F71666">
              <w:rPr>
                <w:rFonts w:ascii="Cambria" w:hAnsi="Cambria" w:cs="Arial"/>
                <w:b/>
                <w:i/>
                <w:sz w:val="20"/>
                <w:szCs w:val="20"/>
              </w:rPr>
              <w:t xml:space="preserve"> </w:t>
            </w:r>
            <w:r w:rsidRPr="00FA516C">
              <w:rPr>
                <w:rFonts w:ascii="Cambria" w:hAnsi="Cambria" w:cs="Arial"/>
                <w:b/>
                <w:i/>
                <w:sz w:val="20"/>
                <w:szCs w:val="20"/>
                <w:lang w:val="fr-FR"/>
              </w:rPr>
              <w:t>recomandarea</w:t>
            </w:r>
            <w:r w:rsidRPr="00F71666">
              <w:rPr>
                <w:rFonts w:ascii="Cambria" w:hAnsi="Cambria" w:cs="Arial"/>
                <w:b/>
                <w:i/>
                <w:sz w:val="20"/>
                <w:szCs w:val="20"/>
              </w:rPr>
              <w:t xml:space="preserve"> </w:t>
            </w:r>
            <w:r w:rsidRPr="00FA516C">
              <w:rPr>
                <w:rFonts w:ascii="Cambria" w:hAnsi="Cambria" w:cs="Arial"/>
                <w:b/>
                <w:i/>
                <w:sz w:val="20"/>
                <w:szCs w:val="20"/>
                <w:lang w:val="fr-FR"/>
              </w:rPr>
              <w:t>expertului</w:t>
            </w:r>
            <w:r w:rsidRPr="00F71666">
              <w:rPr>
                <w:rFonts w:ascii="Cambria" w:hAnsi="Cambria" w:cs="Arial"/>
                <w:b/>
                <w:i/>
                <w:sz w:val="20"/>
                <w:szCs w:val="20"/>
              </w:rPr>
              <w:t>:</w:t>
            </w:r>
            <w:r w:rsidRPr="00F71666">
              <w:rPr>
                <w:rFonts w:ascii="Cambria" w:hAnsi="Cambria" w:cs="Arial"/>
                <w:b/>
                <w:sz w:val="20"/>
                <w:szCs w:val="20"/>
              </w:rPr>
              <w:t xml:space="preserve">  </w:t>
            </w:r>
            <w:r w:rsidRPr="00FA516C">
              <w:rPr>
                <w:rFonts w:ascii="Cambria" w:hAnsi="Cambria" w:cs="Arial"/>
                <w:sz w:val="20"/>
                <w:szCs w:val="20"/>
                <w:u w:val="single"/>
                <w:lang w:val="fr-FR"/>
              </w:rPr>
              <w:t>prevederi</w:t>
            </w:r>
            <w:r w:rsidRPr="00F71666">
              <w:rPr>
                <w:rFonts w:ascii="Cambria" w:hAnsi="Cambria" w:cs="Arial"/>
                <w:sz w:val="20"/>
                <w:szCs w:val="20"/>
                <w:u w:val="single"/>
              </w:rPr>
              <w:t xml:space="preserve"> </w:t>
            </w:r>
            <w:r w:rsidRPr="00FA516C">
              <w:rPr>
                <w:rFonts w:ascii="Cambria" w:hAnsi="Cambria" w:cs="Arial"/>
                <w:sz w:val="20"/>
                <w:szCs w:val="20"/>
                <w:u w:val="single"/>
                <w:lang w:val="fr-FR"/>
              </w:rPr>
              <w:t>necorespunz</w:t>
            </w:r>
            <w:r w:rsidRPr="00F71666">
              <w:rPr>
                <w:rFonts w:ascii="Cambria" w:hAnsi="Cambria" w:cs="Arial"/>
                <w:sz w:val="20"/>
                <w:szCs w:val="20"/>
                <w:u w:val="single"/>
              </w:rPr>
              <w:t>ă</w:t>
            </w:r>
            <w:r w:rsidRPr="00FA516C">
              <w:rPr>
                <w:rFonts w:ascii="Cambria" w:hAnsi="Cambria" w:cs="Arial"/>
                <w:sz w:val="20"/>
                <w:szCs w:val="20"/>
                <w:u w:val="single"/>
                <w:lang w:val="fr-FR"/>
              </w:rPr>
              <w:t>toare</w:t>
            </w:r>
            <w:r w:rsidRPr="00F71666">
              <w:rPr>
                <w:rFonts w:ascii="Cambria" w:hAnsi="Cambria" w:cs="Arial"/>
                <w:sz w:val="20"/>
                <w:szCs w:val="20"/>
                <w:u w:val="single"/>
              </w:rPr>
              <w:t xml:space="preserve"> </w:t>
            </w:r>
            <w:r w:rsidRPr="00FA516C">
              <w:rPr>
                <w:rFonts w:ascii="Cambria" w:hAnsi="Cambria" w:cs="Arial"/>
                <w:sz w:val="20"/>
                <w:szCs w:val="20"/>
                <w:u w:val="single"/>
                <w:lang w:val="fr-FR"/>
              </w:rPr>
              <w:t>standardelor</w:t>
            </w:r>
            <w:r w:rsidRPr="00F71666">
              <w:rPr>
                <w:rFonts w:ascii="Cambria" w:hAnsi="Cambria" w:cs="Arial"/>
                <w:sz w:val="20"/>
                <w:szCs w:val="20"/>
                <w:u w:val="single"/>
              </w:rPr>
              <w:t xml:space="preserve"> </w:t>
            </w:r>
            <w:r w:rsidRPr="00FA516C">
              <w:rPr>
                <w:rFonts w:ascii="Cambria" w:hAnsi="Cambria" w:cs="Arial"/>
                <w:sz w:val="20"/>
                <w:szCs w:val="20"/>
                <w:u w:val="single"/>
                <w:lang w:val="fr-FR"/>
              </w:rPr>
              <w:t>interna</w:t>
            </w:r>
            <w:r w:rsidRPr="00F71666">
              <w:rPr>
                <w:rFonts w:ascii="Cambria" w:hAnsi="Cambria" w:cs="Arial"/>
                <w:sz w:val="20"/>
                <w:szCs w:val="20"/>
                <w:u w:val="single"/>
              </w:rPr>
              <w:t>ţ</w:t>
            </w:r>
            <w:r w:rsidRPr="00FA516C">
              <w:rPr>
                <w:rFonts w:ascii="Cambria" w:hAnsi="Cambria" w:cs="Arial"/>
                <w:sz w:val="20"/>
                <w:szCs w:val="20"/>
                <w:u w:val="single"/>
                <w:lang w:val="fr-FR"/>
              </w:rPr>
              <w:t>ionale</w:t>
            </w:r>
          </w:p>
          <w:p w:rsidR="00FA516C" w:rsidRPr="00F71666" w:rsidRDefault="00FA516C" w:rsidP="00FF1EF8">
            <w:pPr>
              <w:pStyle w:val="NoSpacing"/>
              <w:rPr>
                <w:rFonts w:ascii="Cambria" w:hAnsi="Cambria" w:cs="Arial"/>
                <w:b/>
                <w:sz w:val="20"/>
                <w:szCs w:val="20"/>
              </w:rPr>
            </w:pPr>
          </w:p>
          <w:p w:rsidR="00FA516C" w:rsidRPr="007139C9" w:rsidRDefault="00FA516C" w:rsidP="00FF1EF8">
            <w:pPr>
              <w:pStyle w:val="NoSpacing"/>
              <w:rPr>
                <w:rFonts w:ascii="Cambria" w:hAnsi="Cambria"/>
                <w:sz w:val="20"/>
                <w:szCs w:val="20"/>
              </w:rPr>
            </w:pPr>
            <w:r w:rsidRPr="00FA516C">
              <w:rPr>
                <w:rFonts w:ascii="Cambria" w:hAnsi="Cambria" w:cs="Arial"/>
                <w:b/>
                <w:i/>
                <w:sz w:val="20"/>
                <w:szCs w:val="20"/>
                <w:lang w:val="fr-FR"/>
              </w:rPr>
              <w:t>Obiec</w:t>
            </w:r>
            <w:r w:rsidRPr="00885EB9">
              <w:rPr>
                <w:rFonts w:ascii="Cambria" w:hAnsi="Cambria" w:cs="Arial"/>
                <w:b/>
                <w:i/>
                <w:sz w:val="20"/>
                <w:szCs w:val="20"/>
              </w:rPr>
              <w:t>ţ</w:t>
            </w:r>
            <w:r w:rsidRPr="00FA516C">
              <w:rPr>
                <w:rFonts w:ascii="Cambria" w:hAnsi="Cambria" w:cs="Arial"/>
                <w:b/>
                <w:i/>
                <w:sz w:val="20"/>
                <w:szCs w:val="20"/>
                <w:lang w:val="fr-FR"/>
              </w:rPr>
              <w:t>ia</w:t>
            </w:r>
            <w:r w:rsidRPr="00885EB9">
              <w:rPr>
                <w:rFonts w:ascii="Cambria" w:hAnsi="Cambria" w:cs="Arial"/>
                <w:b/>
                <w:i/>
                <w:sz w:val="20"/>
                <w:szCs w:val="20"/>
              </w:rPr>
              <w:t xml:space="preserve"> </w:t>
            </w:r>
            <w:r w:rsidRPr="00FA516C">
              <w:rPr>
                <w:rFonts w:ascii="Cambria" w:hAnsi="Cambria" w:cs="Arial"/>
                <w:b/>
                <w:i/>
                <w:sz w:val="20"/>
                <w:szCs w:val="20"/>
                <w:lang w:val="fr-FR"/>
              </w:rPr>
              <w:t>expertului</w:t>
            </w:r>
            <w:r w:rsidRPr="00885EB9">
              <w:rPr>
                <w:rFonts w:ascii="Cambria" w:hAnsi="Cambria" w:cs="Arial"/>
                <w:b/>
                <w:i/>
                <w:sz w:val="20"/>
                <w:szCs w:val="20"/>
              </w:rPr>
              <w:t>:</w:t>
            </w:r>
            <w:r w:rsidRPr="00885EB9">
              <w:rPr>
                <w:rFonts w:ascii="Cambria" w:hAnsi="Cambria"/>
                <w:sz w:val="20"/>
                <w:szCs w:val="20"/>
                <w:lang w:eastAsia="ru-RU"/>
              </w:rPr>
              <w:t xml:space="preserve"> </w:t>
            </w:r>
            <w:r w:rsidRPr="00FA516C">
              <w:rPr>
                <w:rFonts w:ascii="Cambria" w:hAnsi="Cambria"/>
                <w:sz w:val="20"/>
                <w:szCs w:val="20"/>
                <w:lang w:val="fr-FR"/>
              </w:rPr>
              <w:t>Art</w:t>
            </w:r>
            <w:r w:rsidRPr="00885EB9">
              <w:rPr>
                <w:rFonts w:ascii="Cambria" w:hAnsi="Cambria"/>
                <w:sz w:val="20"/>
                <w:szCs w:val="20"/>
              </w:rPr>
              <w:t xml:space="preserve">. 2 </w:t>
            </w:r>
            <w:r w:rsidRPr="00FA516C">
              <w:rPr>
                <w:rFonts w:ascii="Cambria" w:hAnsi="Cambria"/>
                <w:sz w:val="20"/>
                <w:szCs w:val="20"/>
                <w:lang w:val="fr-FR"/>
              </w:rPr>
              <w:t>din</w:t>
            </w:r>
            <w:r w:rsidRPr="00885EB9">
              <w:rPr>
                <w:rFonts w:ascii="Cambria" w:hAnsi="Cambria"/>
                <w:sz w:val="20"/>
                <w:szCs w:val="20"/>
              </w:rPr>
              <w:t xml:space="preserve"> </w:t>
            </w:r>
            <w:r w:rsidRPr="00FA516C">
              <w:rPr>
                <w:rFonts w:ascii="Cambria" w:hAnsi="Cambria"/>
                <w:sz w:val="20"/>
                <w:szCs w:val="20"/>
                <w:lang w:val="fr-FR"/>
              </w:rPr>
              <w:t>Legea</w:t>
            </w:r>
            <w:r w:rsidRPr="00885EB9">
              <w:rPr>
                <w:rFonts w:ascii="Cambria" w:hAnsi="Cambria"/>
                <w:sz w:val="20"/>
                <w:szCs w:val="20"/>
              </w:rPr>
              <w:t xml:space="preserve"> 42/2008 î</w:t>
            </w:r>
            <w:r w:rsidRPr="00FA516C">
              <w:rPr>
                <w:rFonts w:ascii="Cambria" w:hAnsi="Cambria"/>
                <w:sz w:val="20"/>
                <w:szCs w:val="20"/>
                <w:lang w:val="fr-FR"/>
              </w:rPr>
              <w:t>n</w:t>
            </w:r>
            <w:r w:rsidRPr="00885EB9">
              <w:rPr>
                <w:rFonts w:ascii="Cambria" w:hAnsi="Cambria"/>
                <w:sz w:val="20"/>
                <w:szCs w:val="20"/>
              </w:rPr>
              <w:t xml:space="preserve"> </w:t>
            </w:r>
            <w:r w:rsidRPr="00FA516C">
              <w:rPr>
                <w:rFonts w:ascii="Cambria" w:hAnsi="Cambria"/>
                <w:sz w:val="20"/>
                <w:szCs w:val="20"/>
                <w:lang w:val="fr-FR"/>
              </w:rPr>
              <w:t>vigoare</w:t>
            </w:r>
            <w:r w:rsidRPr="00885EB9">
              <w:rPr>
                <w:rFonts w:ascii="Cambria" w:hAnsi="Cambria"/>
                <w:sz w:val="20"/>
                <w:szCs w:val="20"/>
              </w:rPr>
              <w:t xml:space="preserve"> </w:t>
            </w:r>
            <w:r w:rsidRPr="00FA516C">
              <w:rPr>
                <w:rFonts w:ascii="Cambria" w:hAnsi="Cambria"/>
                <w:sz w:val="20"/>
                <w:szCs w:val="20"/>
                <w:lang w:val="fr-FR"/>
              </w:rPr>
              <w:t>opereaz</w:t>
            </w:r>
            <w:r w:rsidRPr="00885EB9">
              <w:rPr>
                <w:rFonts w:ascii="Cambria" w:hAnsi="Cambria"/>
                <w:sz w:val="20"/>
                <w:szCs w:val="20"/>
              </w:rPr>
              <w:t xml:space="preserve">ă </w:t>
            </w:r>
            <w:r w:rsidRPr="00FA516C">
              <w:rPr>
                <w:rFonts w:ascii="Cambria" w:hAnsi="Cambria"/>
                <w:sz w:val="20"/>
                <w:szCs w:val="20"/>
                <w:lang w:val="fr-FR"/>
              </w:rPr>
              <w:t>cu</w:t>
            </w:r>
            <w:r w:rsidRPr="00885EB9">
              <w:rPr>
                <w:rFonts w:ascii="Cambria" w:hAnsi="Cambria"/>
                <w:sz w:val="20"/>
                <w:szCs w:val="20"/>
              </w:rPr>
              <w:t xml:space="preserve"> </w:t>
            </w:r>
            <w:r w:rsidRPr="00FA516C">
              <w:rPr>
                <w:rFonts w:ascii="Cambria" w:hAnsi="Cambria"/>
                <w:sz w:val="20"/>
                <w:szCs w:val="20"/>
                <w:lang w:val="fr-FR"/>
              </w:rPr>
              <w:t>no</w:t>
            </w:r>
            <w:r w:rsidRPr="00885EB9">
              <w:rPr>
                <w:rFonts w:ascii="Cambria" w:hAnsi="Cambria"/>
                <w:sz w:val="20"/>
                <w:szCs w:val="20"/>
              </w:rPr>
              <w:t>ţ</w:t>
            </w:r>
            <w:r w:rsidRPr="00FA516C">
              <w:rPr>
                <w:rFonts w:ascii="Cambria" w:hAnsi="Cambria"/>
                <w:sz w:val="20"/>
                <w:szCs w:val="20"/>
                <w:lang w:val="fr-FR"/>
              </w:rPr>
              <w:t>iunea</w:t>
            </w:r>
            <w:r w:rsidRPr="00885EB9">
              <w:rPr>
                <w:rFonts w:ascii="Cambria" w:hAnsi="Cambria"/>
                <w:sz w:val="20"/>
                <w:szCs w:val="20"/>
              </w:rPr>
              <w:t xml:space="preserve"> </w:t>
            </w:r>
            <w:r w:rsidRPr="00FA516C">
              <w:rPr>
                <w:rFonts w:ascii="Cambria" w:hAnsi="Cambria"/>
                <w:sz w:val="20"/>
                <w:szCs w:val="20"/>
                <w:lang w:val="fr-FR"/>
              </w:rPr>
              <w:t>de</w:t>
            </w:r>
            <w:r w:rsidRPr="00885EB9">
              <w:rPr>
                <w:rFonts w:ascii="Cambria" w:hAnsi="Cambria"/>
                <w:sz w:val="20"/>
                <w:szCs w:val="20"/>
              </w:rPr>
              <w:t xml:space="preserve"> "</w:t>
            </w:r>
            <w:r w:rsidRPr="00FA516C">
              <w:rPr>
                <w:rFonts w:ascii="Cambria" w:hAnsi="Cambria"/>
                <w:sz w:val="20"/>
                <w:szCs w:val="20"/>
                <w:lang w:val="fr-FR"/>
              </w:rPr>
              <w:t>recipient</w:t>
            </w:r>
            <w:r w:rsidRPr="00885EB9">
              <w:rPr>
                <w:rFonts w:ascii="Cambria" w:hAnsi="Cambria"/>
                <w:sz w:val="20"/>
                <w:szCs w:val="20"/>
              </w:rPr>
              <w:t xml:space="preserve">", </w:t>
            </w:r>
            <w:r w:rsidRPr="00FA516C">
              <w:rPr>
                <w:rFonts w:ascii="Cambria" w:hAnsi="Cambria"/>
                <w:sz w:val="20"/>
                <w:szCs w:val="20"/>
                <w:lang w:val="fr-FR"/>
              </w:rPr>
              <w:t>ceea</w:t>
            </w:r>
            <w:r w:rsidRPr="00885EB9">
              <w:rPr>
                <w:rFonts w:ascii="Cambria" w:hAnsi="Cambria"/>
                <w:sz w:val="20"/>
                <w:szCs w:val="20"/>
              </w:rPr>
              <w:t xml:space="preserve"> </w:t>
            </w:r>
            <w:r w:rsidRPr="00FA516C">
              <w:rPr>
                <w:rFonts w:ascii="Cambria" w:hAnsi="Cambria"/>
                <w:sz w:val="20"/>
                <w:szCs w:val="20"/>
                <w:lang w:val="fr-FR"/>
              </w:rPr>
              <w:t>ce</w:t>
            </w:r>
            <w:r w:rsidRPr="00885EB9">
              <w:rPr>
                <w:rFonts w:ascii="Cambria" w:hAnsi="Cambria"/>
                <w:sz w:val="20"/>
                <w:szCs w:val="20"/>
              </w:rPr>
              <w:t>, î</w:t>
            </w:r>
            <w:r w:rsidRPr="00FA516C">
              <w:rPr>
                <w:rFonts w:ascii="Cambria" w:hAnsi="Cambria"/>
                <w:sz w:val="20"/>
                <w:szCs w:val="20"/>
                <w:lang w:val="fr-FR"/>
              </w:rPr>
              <w:t>n</w:t>
            </w:r>
            <w:r w:rsidRPr="00885EB9">
              <w:rPr>
                <w:rFonts w:ascii="Cambria" w:hAnsi="Cambria"/>
                <w:sz w:val="20"/>
                <w:szCs w:val="20"/>
              </w:rPr>
              <w:t xml:space="preserve"> </w:t>
            </w:r>
            <w:r w:rsidRPr="00FA516C">
              <w:rPr>
                <w:rFonts w:ascii="Cambria" w:hAnsi="Cambria"/>
                <w:sz w:val="20"/>
                <w:szCs w:val="20"/>
                <w:lang w:val="fr-FR"/>
              </w:rPr>
              <w:t>opinia</w:t>
            </w:r>
            <w:r w:rsidRPr="00885EB9">
              <w:rPr>
                <w:rFonts w:ascii="Cambria" w:hAnsi="Cambria"/>
                <w:sz w:val="20"/>
                <w:szCs w:val="20"/>
              </w:rPr>
              <w:t xml:space="preserve"> </w:t>
            </w:r>
            <w:r w:rsidRPr="00FA516C">
              <w:rPr>
                <w:rFonts w:ascii="Cambria" w:hAnsi="Cambria"/>
                <w:sz w:val="20"/>
                <w:szCs w:val="20"/>
                <w:lang w:val="fr-FR"/>
              </w:rPr>
              <w:t>noastr</w:t>
            </w:r>
            <w:r w:rsidRPr="00885EB9">
              <w:rPr>
                <w:rFonts w:ascii="Cambria" w:hAnsi="Cambria"/>
                <w:sz w:val="20"/>
                <w:szCs w:val="20"/>
              </w:rPr>
              <w:t xml:space="preserve">ă, </w:t>
            </w:r>
            <w:r w:rsidRPr="00FA516C">
              <w:rPr>
                <w:rFonts w:ascii="Cambria" w:hAnsi="Cambria"/>
                <w:sz w:val="20"/>
                <w:szCs w:val="20"/>
                <w:lang w:val="fr-FR"/>
              </w:rPr>
              <w:t>contravine</w:t>
            </w:r>
            <w:r w:rsidRPr="00885EB9">
              <w:rPr>
                <w:rFonts w:ascii="Cambria" w:hAnsi="Cambria"/>
                <w:sz w:val="20"/>
                <w:szCs w:val="20"/>
              </w:rPr>
              <w:t xml:space="preserve"> </w:t>
            </w:r>
            <w:r w:rsidRPr="00FA516C">
              <w:rPr>
                <w:rFonts w:ascii="Cambria" w:hAnsi="Cambria"/>
                <w:sz w:val="20"/>
                <w:szCs w:val="20"/>
                <w:lang w:val="fr-FR"/>
              </w:rPr>
              <w:t>prevederilor</w:t>
            </w:r>
            <w:r w:rsidRPr="00885EB9">
              <w:rPr>
                <w:rFonts w:ascii="Cambria" w:hAnsi="Cambria"/>
                <w:sz w:val="20"/>
                <w:szCs w:val="20"/>
              </w:rPr>
              <w:t xml:space="preserve"> </w:t>
            </w:r>
            <w:r w:rsidRPr="00FA516C">
              <w:rPr>
                <w:rFonts w:ascii="Cambria" w:hAnsi="Cambria"/>
                <w:sz w:val="20"/>
                <w:szCs w:val="20"/>
                <w:lang w:val="fr-FR"/>
              </w:rPr>
              <w:t>Directivei</w:t>
            </w:r>
            <w:r w:rsidRPr="00885EB9">
              <w:rPr>
                <w:rFonts w:ascii="Cambria" w:hAnsi="Cambria"/>
                <w:sz w:val="20"/>
                <w:szCs w:val="20"/>
              </w:rPr>
              <w:t xml:space="preserve"> 2004/23/</w:t>
            </w:r>
            <w:r w:rsidRPr="00FA516C">
              <w:rPr>
                <w:rFonts w:ascii="Cambria" w:hAnsi="Cambria"/>
                <w:sz w:val="20"/>
                <w:szCs w:val="20"/>
                <w:lang w:val="fr-FR"/>
              </w:rPr>
              <w:t>CE</w:t>
            </w:r>
            <w:r w:rsidRPr="00885EB9">
              <w:rPr>
                <w:rFonts w:ascii="Cambria" w:hAnsi="Cambria"/>
                <w:sz w:val="20"/>
                <w:szCs w:val="20"/>
              </w:rPr>
              <w:t xml:space="preserve"> </w:t>
            </w:r>
            <w:r w:rsidRPr="00FA516C">
              <w:rPr>
                <w:rFonts w:ascii="Cambria" w:hAnsi="Cambria"/>
                <w:sz w:val="20"/>
                <w:szCs w:val="20"/>
                <w:lang w:val="fr-FR"/>
              </w:rPr>
              <w:t>din</w:t>
            </w:r>
            <w:r w:rsidRPr="00885EB9">
              <w:rPr>
                <w:rFonts w:ascii="Cambria" w:hAnsi="Cambria"/>
                <w:sz w:val="20"/>
                <w:szCs w:val="20"/>
              </w:rPr>
              <w:t xml:space="preserve"> 31 </w:t>
            </w:r>
            <w:r w:rsidRPr="00FA516C">
              <w:rPr>
                <w:rFonts w:ascii="Cambria" w:hAnsi="Cambria"/>
                <w:sz w:val="20"/>
                <w:szCs w:val="20"/>
                <w:lang w:val="fr-FR"/>
              </w:rPr>
              <w:t>martie</w:t>
            </w:r>
            <w:r w:rsidRPr="00885EB9">
              <w:rPr>
                <w:rFonts w:ascii="Cambria" w:hAnsi="Cambria"/>
                <w:sz w:val="20"/>
                <w:szCs w:val="20"/>
              </w:rPr>
              <w:t xml:space="preserve"> 2004 ş</w:t>
            </w:r>
            <w:r w:rsidRPr="00FA516C">
              <w:rPr>
                <w:rFonts w:ascii="Cambria" w:hAnsi="Cambria"/>
                <w:sz w:val="20"/>
                <w:szCs w:val="20"/>
                <w:lang w:val="fr-FR"/>
              </w:rPr>
              <w:t>i</w:t>
            </w:r>
            <w:r w:rsidRPr="00885EB9">
              <w:rPr>
                <w:rFonts w:ascii="Cambria" w:hAnsi="Cambria"/>
                <w:sz w:val="20"/>
                <w:szCs w:val="20"/>
              </w:rPr>
              <w:t xml:space="preserve"> </w:t>
            </w:r>
            <w:r w:rsidRPr="00FA516C">
              <w:rPr>
                <w:rFonts w:ascii="Cambria" w:hAnsi="Cambria"/>
                <w:sz w:val="20"/>
                <w:szCs w:val="20"/>
                <w:lang w:val="fr-FR"/>
              </w:rPr>
              <w:t>Directivei</w:t>
            </w:r>
            <w:r w:rsidRPr="00885EB9">
              <w:rPr>
                <w:rFonts w:ascii="Cambria" w:hAnsi="Cambria"/>
                <w:sz w:val="20"/>
                <w:szCs w:val="20"/>
              </w:rPr>
              <w:t xml:space="preserve"> 2010/45/</w:t>
            </w:r>
            <w:r w:rsidRPr="00FA516C">
              <w:rPr>
                <w:rFonts w:ascii="Cambria" w:hAnsi="Cambria"/>
                <w:sz w:val="20"/>
                <w:szCs w:val="20"/>
                <w:lang w:val="fr-FR"/>
              </w:rPr>
              <w:t>UE</w:t>
            </w:r>
            <w:r w:rsidRPr="00885EB9">
              <w:rPr>
                <w:rFonts w:ascii="Cambria" w:hAnsi="Cambria"/>
                <w:sz w:val="20"/>
                <w:szCs w:val="20"/>
              </w:rPr>
              <w:t xml:space="preserve"> </w:t>
            </w:r>
            <w:r w:rsidRPr="00FA516C">
              <w:rPr>
                <w:rFonts w:ascii="Cambria" w:hAnsi="Cambria"/>
                <w:sz w:val="20"/>
                <w:szCs w:val="20"/>
                <w:lang w:val="fr-FR"/>
              </w:rPr>
              <w:t>din</w:t>
            </w:r>
            <w:r w:rsidRPr="00885EB9">
              <w:rPr>
                <w:rFonts w:ascii="Cambria" w:hAnsi="Cambria"/>
                <w:sz w:val="20"/>
                <w:szCs w:val="20"/>
              </w:rPr>
              <w:t xml:space="preserve"> </w:t>
            </w:r>
            <w:r w:rsidRPr="00FA516C">
              <w:rPr>
                <w:rFonts w:ascii="Cambria" w:hAnsi="Cambria"/>
                <w:sz w:val="20"/>
                <w:szCs w:val="20"/>
                <w:lang w:val="fr-FR"/>
              </w:rPr>
              <w:t>domeniul</w:t>
            </w:r>
            <w:r w:rsidRPr="00885EB9">
              <w:rPr>
                <w:rFonts w:ascii="Cambria" w:hAnsi="Cambria"/>
                <w:sz w:val="20"/>
                <w:szCs w:val="20"/>
              </w:rPr>
              <w:t xml:space="preserve"> </w:t>
            </w:r>
            <w:r w:rsidRPr="00FA516C">
              <w:rPr>
                <w:rFonts w:ascii="Cambria" w:hAnsi="Cambria"/>
                <w:sz w:val="20"/>
                <w:szCs w:val="20"/>
                <w:lang w:val="fr-FR"/>
              </w:rPr>
              <w:t>de</w:t>
            </w:r>
            <w:r w:rsidRPr="00885EB9">
              <w:rPr>
                <w:rFonts w:ascii="Cambria" w:hAnsi="Cambria"/>
                <w:sz w:val="20"/>
                <w:szCs w:val="20"/>
              </w:rPr>
              <w:t xml:space="preserve"> </w:t>
            </w:r>
            <w:r w:rsidRPr="00FA516C">
              <w:rPr>
                <w:rFonts w:ascii="Cambria" w:hAnsi="Cambria"/>
                <w:sz w:val="20"/>
                <w:szCs w:val="20"/>
                <w:lang w:val="fr-FR"/>
              </w:rPr>
              <w:t>referin</w:t>
            </w:r>
            <w:r w:rsidRPr="00885EB9">
              <w:rPr>
                <w:rFonts w:ascii="Cambria" w:hAnsi="Cambria"/>
                <w:sz w:val="20"/>
                <w:szCs w:val="20"/>
              </w:rPr>
              <w:t xml:space="preserve">ţă, </w:t>
            </w:r>
            <w:r w:rsidRPr="00FA516C">
              <w:rPr>
                <w:rFonts w:ascii="Cambria" w:hAnsi="Cambria"/>
                <w:sz w:val="20"/>
                <w:szCs w:val="20"/>
                <w:lang w:val="fr-FR"/>
              </w:rPr>
              <w:t>care</w:t>
            </w:r>
            <w:r w:rsidRPr="00885EB9">
              <w:rPr>
                <w:rFonts w:ascii="Cambria" w:hAnsi="Cambria"/>
                <w:sz w:val="20"/>
                <w:szCs w:val="20"/>
              </w:rPr>
              <w:t xml:space="preserve"> </w:t>
            </w:r>
            <w:r w:rsidRPr="00FA516C">
              <w:rPr>
                <w:rFonts w:ascii="Cambria" w:hAnsi="Cambria"/>
                <w:sz w:val="20"/>
                <w:szCs w:val="20"/>
                <w:lang w:val="fr-FR"/>
              </w:rPr>
              <w:t>opereaz</w:t>
            </w:r>
            <w:r w:rsidRPr="00885EB9">
              <w:rPr>
                <w:rFonts w:ascii="Cambria" w:hAnsi="Cambria"/>
                <w:sz w:val="20"/>
                <w:szCs w:val="20"/>
              </w:rPr>
              <w:t xml:space="preserve">ă </w:t>
            </w:r>
            <w:r w:rsidRPr="00FA516C">
              <w:rPr>
                <w:rFonts w:ascii="Cambria" w:hAnsi="Cambria"/>
                <w:sz w:val="20"/>
                <w:szCs w:val="20"/>
                <w:lang w:val="fr-FR"/>
              </w:rPr>
              <w:t>cu</w:t>
            </w:r>
            <w:r w:rsidRPr="00885EB9">
              <w:rPr>
                <w:rFonts w:ascii="Cambria" w:hAnsi="Cambria"/>
                <w:sz w:val="20"/>
                <w:szCs w:val="20"/>
              </w:rPr>
              <w:t xml:space="preserve"> </w:t>
            </w:r>
            <w:r w:rsidRPr="00FA516C">
              <w:rPr>
                <w:rFonts w:ascii="Cambria" w:hAnsi="Cambria"/>
                <w:sz w:val="20"/>
                <w:szCs w:val="20"/>
                <w:lang w:val="fr-FR"/>
              </w:rPr>
              <w:t>no</w:t>
            </w:r>
            <w:r w:rsidRPr="00885EB9">
              <w:rPr>
                <w:rFonts w:ascii="Cambria" w:hAnsi="Cambria"/>
                <w:sz w:val="20"/>
                <w:szCs w:val="20"/>
              </w:rPr>
              <w:t>ţ</w:t>
            </w:r>
            <w:r w:rsidRPr="00FA516C">
              <w:rPr>
                <w:rFonts w:ascii="Cambria" w:hAnsi="Cambria"/>
                <w:sz w:val="20"/>
                <w:szCs w:val="20"/>
                <w:lang w:val="fr-FR"/>
              </w:rPr>
              <w:t>iunea</w:t>
            </w:r>
            <w:r w:rsidRPr="00885EB9">
              <w:rPr>
                <w:rFonts w:ascii="Cambria" w:hAnsi="Cambria"/>
                <w:sz w:val="20"/>
                <w:szCs w:val="20"/>
              </w:rPr>
              <w:t xml:space="preserve"> "</w:t>
            </w:r>
            <w:r w:rsidRPr="00FA516C">
              <w:rPr>
                <w:rFonts w:ascii="Cambria" w:hAnsi="Cambria"/>
                <w:sz w:val="20"/>
                <w:szCs w:val="20"/>
                <w:lang w:val="fr-FR"/>
              </w:rPr>
              <w:t>primitor</w:t>
            </w:r>
            <w:r w:rsidRPr="00885EB9">
              <w:rPr>
                <w:rFonts w:ascii="Cambria" w:hAnsi="Cambria"/>
                <w:sz w:val="20"/>
                <w:szCs w:val="20"/>
              </w:rPr>
              <w:t>".</w:t>
            </w:r>
          </w:p>
          <w:p w:rsidR="00F71666" w:rsidRPr="007139C9" w:rsidRDefault="00F71666" w:rsidP="00FF1EF8">
            <w:pPr>
              <w:pStyle w:val="NoSpacing"/>
              <w:rPr>
                <w:rFonts w:ascii="Cambria" w:hAnsi="Cambria" w:cs="Arial"/>
                <w:b/>
                <w:sz w:val="20"/>
                <w:szCs w:val="20"/>
              </w:rPr>
            </w:pPr>
          </w:p>
          <w:p w:rsidR="00FA516C" w:rsidRPr="005C54D2" w:rsidRDefault="00FA516C" w:rsidP="00FF1EF8">
            <w:pPr>
              <w:pStyle w:val="NoSpacing"/>
              <w:rPr>
                <w:rFonts w:ascii="Cambria" w:hAnsi="Cambria" w:cs="Arial"/>
                <w:sz w:val="20"/>
                <w:szCs w:val="20"/>
                <w:lang w:val="fr-FR"/>
              </w:rPr>
            </w:pPr>
            <w:r w:rsidRPr="005C54D2">
              <w:rPr>
                <w:rFonts w:ascii="Cambria" w:hAnsi="Cambria" w:cs="Arial"/>
                <w:b/>
                <w:i/>
                <w:sz w:val="20"/>
                <w:szCs w:val="20"/>
                <w:lang w:val="fr-FR"/>
              </w:rPr>
              <w:t>Recomandarea:</w:t>
            </w:r>
            <w:r w:rsidRPr="005C54D2">
              <w:rPr>
                <w:rFonts w:ascii="Cambria" w:hAnsi="Cambria"/>
                <w:sz w:val="20"/>
                <w:szCs w:val="20"/>
                <w:lang w:val="fr-FR"/>
              </w:rPr>
              <w:t xml:space="preserve"> </w:t>
            </w:r>
            <w:r w:rsidRPr="005C54D2">
              <w:rPr>
                <w:rFonts w:ascii="Cambria" w:hAnsi="Cambria" w:cs="Arial"/>
                <w:sz w:val="20"/>
                <w:szCs w:val="20"/>
                <w:lang w:val="fr-FR"/>
              </w:rPr>
              <w:t>Pentru a asigura compatibilitatea legii cu Directivele UE menţionate mai sus, sugerăm revizuirea noţiunii de "recipient". Respectiv, noţiunea în cauză va trebui revăzută pe tot parcursul legii.</w:t>
            </w:r>
          </w:p>
          <w:p w:rsidR="00FA516C" w:rsidRPr="005C54D2" w:rsidRDefault="00FA516C" w:rsidP="00FF1EF8">
            <w:pPr>
              <w:pStyle w:val="NoSpacing"/>
              <w:rPr>
                <w:rFonts w:ascii="Cambria" w:hAnsi="Cambria"/>
                <w:sz w:val="20"/>
                <w:szCs w:val="20"/>
                <w:lang w:val="fr-FR"/>
              </w:rPr>
            </w:pPr>
          </w:p>
        </w:tc>
      </w:tr>
      <w:tr w:rsidR="00FA516C" w:rsidRPr="007139C9" w:rsidTr="00FF1EF8">
        <w:tc>
          <w:tcPr>
            <w:tcW w:w="9571" w:type="dxa"/>
            <w:tcBorders>
              <w:left w:val="single" w:sz="4" w:space="0" w:color="F2F2F2"/>
              <w:right w:val="single" w:sz="4" w:space="0" w:color="F2F2F2"/>
            </w:tcBorders>
          </w:tcPr>
          <w:p w:rsidR="00FA516C" w:rsidRDefault="00FA516C" w:rsidP="00FF1EF8">
            <w:pPr>
              <w:pStyle w:val="NormalWeb"/>
              <w:rPr>
                <w:rFonts w:ascii="Cambria" w:hAnsi="Cambria" w:cs="Arial"/>
                <w:b/>
                <w:i/>
                <w:sz w:val="20"/>
                <w:szCs w:val="20"/>
                <w:lang w:val="ro-RO"/>
              </w:rPr>
            </w:pPr>
          </w:p>
          <w:p w:rsidR="00FA516C" w:rsidRDefault="00FA516C" w:rsidP="00FF1EF8">
            <w:pPr>
              <w:pStyle w:val="NormalWeb"/>
              <w:rPr>
                <w:rFonts w:ascii="Cambria" w:hAnsi="Cambria" w:cs="Arial"/>
                <w:sz w:val="20"/>
                <w:szCs w:val="20"/>
                <w:lang w:val="ro-RO"/>
              </w:rPr>
            </w:pPr>
            <w:r w:rsidRPr="001679C9">
              <w:rPr>
                <w:rFonts w:ascii="Cambria" w:hAnsi="Cambria" w:cs="Arial"/>
                <w:b/>
                <w:i/>
                <w:sz w:val="20"/>
                <w:szCs w:val="20"/>
                <w:lang w:val="ro-RO"/>
              </w:rPr>
              <w:t>Textul Legii adoptate:</w:t>
            </w:r>
            <w:r w:rsidRPr="00924B3F">
              <w:rPr>
                <w:rFonts w:ascii="Cambria" w:hAnsi="Cambria" w:cs="Arial"/>
                <w:sz w:val="20"/>
                <w:szCs w:val="20"/>
                <w:lang w:val="ro-RO"/>
              </w:rPr>
              <w:t xml:space="preserve"> </w:t>
            </w:r>
          </w:p>
          <w:p w:rsidR="00FA516C" w:rsidRPr="00043491" w:rsidRDefault="00FA516C" w:rsidP="00FF1EF8">
            <w:pPr>
              <w:pStyle w:val="NormalWeb"/>
              <w:ind w:left="1134"/>
              <w:rPr>
                <w:rFonts w:ascii="Cambria" w:hAnsi="Cambria"/>
                <w:sz w:val="20"/>
                <w:szCs w:val="20"/>
                <w:lang w:val="fr-FR"/>
              </w:rPr>
            </w:pPr>
            <w:r w:rsidRPr="00043491">
              <w:rPr>
                <w:rFonts w:ascii="Cambria" w:hAnsi="Cambria"/>
                <w:sz w:val="20"/>
                <w:szCs w:val="20"/>
                <w:lang w:val="fr-FR"/>
              </w:rPr>
              <w:t>noţiunea “recipient” se substituie cu noţiunea “primitor” şi va avea următorul cuprins:</w:t>
            </w:r>
          </w:p>
          <w:p w:rsidR="00FA516C" w:rsidRPr="00043491" w:rsidRDefault="00FA516C" w:rsidP="00FF1EF8">
            <w:pPr>
              <w:pStyle w:val="NormalWeb"/>
              <w:ind w:left="1134"/>
              <w:rPr>
                <w:rFonts w:ascii="Cambria" w:hAnsi="Cambria"/>
                <w:sz w:val="20"/>
                <w:szCs w:val="20"/>
                <w:lang w:val="fr-FR"/>
              </w:rPr>
            </w:pPr>
            <w:r w:rsidRPr="00043491">
              <w:rPr>
                <w:rFonts w:ascii="Cambria" w:hAnsi="Cambria"/>
                <w:sz w:val="20"/>
                <w:szCs w:val="20"/>
                <w:lang w:val="fr-FR"/>
              </w:rPr>
              <w:t>“</w:t>
            </w:r>
            <w:r w:rsidRPr="00043491">
              <w:rPr>
                <w:rFonts w:ascii="Cambria" w:hAnsi="Cambria"/>
                <w:i/>
                <w:iCs/>
                <w:sz w:val="20"/>
                <w:szCs w:val="20"/>
                <w:lang w:val="fr-FR"/>
              </w:rPr>
              <w:t xml:space="preserve">primitor </w:t>
            </w:r>
            <w:r w:rsidRPr="00043491">
              <w:rPr>
                <w:rFonts w:ascii="Cambria" w:hAnsi="Cambria"/>
                <w:sz w:val="20"/>
                <w:szCs w:val="20"/>
                <w:lang w:val="fr-FR"/>
              </w:rPr>
              <w:t>– persoana care beneficiază de transplantul de organe şi/sau de ţesuturi, şi/sau de celule umane;”.</w:t>
            </w:r>
          </w:p>
          <w:p w:rsidR="00FA516C" w:rsidRPr="00A92093" w:rsidRDefault="00FA516C" w:rsidP="00FF1EF8">
            <w:pPr>
              <w:pStyle w:val="NormalWeb"/>
              <w:rPr>
                <w:rFonts w:ascii="Cambria" w:hAnsi="Cambria"/>
                <w:sz w:val="20"/>
                <w:szCs w:val="20"/>
                <w:lang w:val="fr-FR"/>
              </w:rPr>
            </w:pP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7139C9">
      <w:pPr>
        <w:pStyle w:val="Heading1"/>
      </w:pPr>
      <w:bookmarkStart w:id="38" w:name="_Toc409790643"/>
      <w:r w:rsidRPr="000E1B68">
        <w:t>IV.9 Prevederi necorespunzătoare jurisprudenţei Curţii Constituţionale</w:t>
      </w:r>
      <w:bookmarkEnd w:id="38"/>
    </w:p>
    <w:p w:rsidR="00FA516C" w:rsidRDefault="00FA516C" w:rsidP="00FA516C">
      <w:pPr>
        <w:pStyle w:val="ListParagraph1"/>
        <w:spacing w:after="0" w:line="240" w:lineRule="auto"/>
        <w:ind w:left="0"/>
        <w:jc w:val="both"/>
        <w:rPr>
          <w:rFonts w:ascii="Cambria" w:hAnsi="Cambria" w:cs="Arial"/>
          <w:b/>
          <w:sz w:val="24"/>
          <w:szCs w:val="24"/>
        </w:rPr>
      </w:pPr>
    </w:p>
    <w:p w:rsidR="00FA516C" w:rsidRPr="00ED1D3C" w:rsidRDefault="00FA516C" w:rsidP="00FA516C">
      <w:pPr>
        <w:pStyle w:val="ListParagraph1"/>
        <w:spacing w:after="0" w:line="240" w:lineRule="auto"/>
        <w:ind w:left="0"/>
        <w:jc w:val="both"/>
        <w:rPr>
          <w:rFonts w:ascii="Cambria" w:hAnsi="Cambria" w:cs="Arial"/>
          <w:sz w:val="24"/>
          <w:szCs w:val="24"/>
        </w:rPr>
      </w:pPr>
      <w:r>
        <w:rPr>
          <w:rFonts w:ascii="Cambria" w:hAnsi="Cambria" w:cs="Arial"/>
          <w:sz w:val="24"/>
          <w:szCs w:val="24"/>
        </w:rPr>
        <w:t xml:space="preserve">În scopul identificării prevederilor necorespunzătoare jurisprudenţei Curţii Constituţionale, experţii CAPC au </w:t>
      </w:r>
      <w:r w:rsidRPr="00ED1D3C">
        <w:rPr>
          <w:rFonts w:ascii="Cambria" w:hAnsi="Cambria" w:cs="Arial"/>
          <w:sz w:val="24"/>
          <w:szCs w:val="24"/>
        </w:rPr>
        <w:t>identific</w:t>
      </w:r>
      <w:r>
        <w:rPr>
          <w:rFonts w:ascii="Cambria" w:hAnsi="Cambria" w:cs="Arial"/>
          <w:sz w:val="24"/>
          <w:szCs w:val="24"/>
        </w:rPr>
        <w:t xml:space="preserve">at </w:t>
      </w:r>
      <w:r w:rsidRPr="00ED1D3C">
        <w:rPr>
          <w:rFonts w:ascii="Cambria" w:hAnsi="Cambria" w:cs="Arial"/>
          <w:sz w:val="24"/>
          <w:szCs w:val="24"/>
        </w:rPr>
        <w:t xml:space="preserve">jurisprudenţa </w:t>
      </w:r>
      <w:r>
        <w:rPr>
          <w:rFonts w:ascii="Cambria" w:hAnsi="Cambria" w:cs="Arial"/>
          <w:sz w:val="24"/>
          <w:szCs w:val="24"/>
        </w:rPr>
        <w:t xml:space="preserve">relevantă a </w:t>
      </w:r>
      <w:r w:rsidRPr="00ED1D3C">
        <w:rPr>
          <w:rFonts w:ascii="Cambria" w:hAnsi="Cambria" w:cs="Arial"/>
          <w:sz w:val="24"/>
          <w:szCs w:val="24"/>
        </w:rPr>
        <w:t>Curţii Constituţional</w:t>
      </w:r>
      <w:r>
        <w:rPr>
          <w:rFonts w:ascii="Cambria" w:hAnsi="Cambria" w:cs="Arial"/>
          <w:sz w:val="24"/>
          <w:szCs w:val="24"/>
        </w:rPr>
        <w:t>e</w:t>
      </w:r>
      <w:r w:rsidRPr="00240DB0">
        <w:rPr>
          <w:rFonts w:ascii="Cambria" w:hAnsi="Cambria" w:cs="Arial"/>
          <w:sz w:val="24"/>
          <w:szCs w:val="24"/>
        </w:rPr>
        <w:t xml:space="preserve"> </w:t>
      </w:r>
      <w:r>
        <w:rPr>
          <w:rFonts w:ascii="Cambria" w:hAnsi="Cambria" w:cs="Arial"/>
          <w:sz w:val="24"/>
          <w:szCs w:val="24"/>
        </w:rPr>
        <w:t>(</w:t>
      </w:r>
      <w:r w:rsidRPr="00ED1D3C">
        <w:rPr>
          <w:rFonts w:ascii="Cambria" w:hAnsi="Cambria" w:cs="Arial"/>
          <w:sz w:val="24"/>
          <w:szCs w:val="24"/>
        </w:rPr>
        <w:t>în cazul în care</w:t>
      </w:r>
      <w:r>
        <w:rPr>
          <w:rFonts w:ascii="Cambria" w:hAnsi="Cambria" w:cs="Arial"/>
          <w:sz w:val="24"/>
          <w:szCs w:val="24"/>
        </w:rPr>
        <w:t xml:space="preserve"> aceasta</w:t>
      </w:r>
      <w:r w:rsidRPr="00ED1D3C">
        <w:rPr>
          <w:rFonts w:ascii="Cambria" w:hAnsi="Cambria" w:cs="Arial"/>
          <w:sz w:val="24"/>
          <w:szCs w:val="24"/>
        </w:rPr>
        <w:t xml:space="preserve"> există</w:t>
      </w:r>
      <w:r>
        <w:rPr>
          <w:rFonts w:ascii="Cambria" w:hAnsi="Cambria" w:cs="Arial"/>
          <w:sz w:val="24"/>
          <w:szCs w:val="24"/>
        </w:rPr>
        <w:t>)</w:t>
      </w:r>
      <w:r w:rsidRPr="00ED1D3C">
        <w:rPr>
          <w:rFonts w:ascii="Cambria" w:hAnsi="Cambria" w:cs="Arial"/>
          <w:sz w:val="24"/>
          <w:szCs w:val="24"/>
        </w:rPr>
        <w:t xml:space="preserve"> pentru proiectul </w:t>
      </w:r>
      <w:r>
        <w:rPr>
          <w:rFonts w:ascii="Cambria" w:hAnsi="Cambria" w:cs="Arial"/>
          <w:sz w:val="24"/>
          <w:szCs w:val="24"/>
        </w:rPr>
        <w:t xml:space="preserve">supus expertizei şi au apreciat </w:t>
      </w:r>
      <w:r w:rsidRPr="00ED1D3C">
        <w:rPr>
          <w:rFonts w:ascii="Cambria" w:hAnsi="Cambria" w:cs="Arial"/>
          <w:sz w:val="24"/>
          <w:szCs w:val="24"/>
        </w:rPr>
        <w:t xml:space="preserve">dacă </w:t>
      </w:r>
      <w:r>
        <w:rPr>
          <w:rFonts w:ascii="Cambria" w:hAnsi="Cambria" w:cs="Arial"/>
          <w:sz w:val="24"/>
          <w:szCs w:val="24"/>
        </w:rPr>
        <w:t>proiectul</w:t>
      </w:r>
      <w:r w:rsidRPr="00ED1D3C">
        <w:rPr>
          <w:rFonts w:ascii="Cambria" w:hAnsi="Cambria" w:cs="Arial"/>
          <w:sz w:val="24"/>
          <w:szCs w:val="24"/>
        </w:rPr>
        <w:t xml:space="preserve"> este conform jurisprudenţei consacrate.</w:t>
      </w:r>
    </w:p>
    <w:p w:rsidR="00FA516C" w:rsidRPr="009A26EB" w:rsidRDefault="00FA516C" w:rsidP="00FA516C">
      <w:pPr>
        <w:pStyle w:val="ListParagraph1"/>
        <w:spacing w:after="0" w:line="240" w:lineRule="auto"/>
        <w:ind w:left="0"/>
        <w:jc w:val="both"/>
        <w:rPr>
          <w:rFonts w:ascii="Cambria" w:hAnsi="Cambria" w:cs="Arial"/>
          <w:sz w:val="24"/>
          <w:szCs w:val="24"/>
        </w:rPr>
      </w:pPr>
    </w:p>
    <w:p w:rsidR="00FA516C" w:rsidRPr="00623E97" w:rsidRDefault="00FA516C" w:rsidP="00FA516C">
      <w:pPr>
        <w:pStyle w:val="ListParagraph1"/>
        <w:spacing w:after="0" w:line="240" w:lineRule="auto"/>
        <w:ind w:left="0"/>
        <w:jc w:val="both"/>
        <w:rPr>
          <w:rFonts w:ascii="Cambria" w:hAnsi="Cambria" w:cs="Arial"/>
          <w:sz w:val="24"/>
          <w:szCs w:val="24"/>
        </w:rPr>
      </w:pPr>
      <w:r w:rsidRPr="00623E97">
        <w:rPr>
          <w:rFonts w:ascii="Cambria" w:hAnsi="Cambria" w:cs="Arial"/>
          <w:i/>
          <w:sz w:val="24"/>
          <w:szCs w:val="24"/>
        </w:rPr>
        <w:t>Prevederi necorespunzătoare jurisprudenţei Curţii Constituţionale</w:t>
      </w:r>
      <w:r>
        <w:rPr>
          <w:rFonts w:ascii="Cambria" w:hAnsi="Cambria" w:cs="Arial"/>
          <w:i/>
          <w:sz w:val="24"/>
          <w:szCs w:val="24"/>
        </w:rPr>
        <w:t xml:space="preserve"> </w:t>
      </w:r>
      <w:r>
        <w:rPr>
          <w:rFonts w:ascii="Cambria" w:hAnsi="Cambria" w:cs="Arial"/>
          <w:sz w:val="24"/>
          <w:szCs w:val="24"/>
        </w:rPr>
        <w:t>sunt normele la elaborarea cărora nu s-a ţinut cont de hotărîrile Curţii Constituţionale referitoare la situaţii similare pe care le abordează proiectul de act normativ.</w:t>
      </w:r>
    </w:p>
    <w:p w:rsidR="00FA516C" w:rsidRDefault="00FA516C" w:rsidP="00FA516C">
      <w:pPr>
        <w:pStyle w:val="ListParagraph1"/>
        <w:spacing w:after="0" w:line="240" w:lineRule="auto"/>
        <w:ind w:left="0"/>
        <w:jc w:val="both"/>
        <w:rPr>
          <w:rFonts w:ascii="Cambria" w:hAnsi="Cambria" w:cs="Arial"/>
          <w:sz w:val="24"/>
          <w:szCs w:val="24"/>
        </w:rPr>
      </w:pPr>
    </w:p>
    <w:p w:rsidR="00FA516C" w:rsidRPr="00AE6DEB" w:rsidRDefault="00FA516C" w:rsidP="00FA516C">
      <w:pPr>
        <w:pStyle w:val="ListParagraph1"/>
        <w:spacing w:after="0" w:line="240" w:lineRule="auto"/>
        <w:ind w:left="0"/>
        <w:jc w:val="both"/>
        <w:rPr>
          <w:rFonts w:ascii="Cambria" w:hAnsi="Cambria" w:cs="Arial"/>
          <w:sz w:val="24"/>
          <w:szCs w:val="24"/>
        </w:rPr>
      </w:pPr>
      <w:r w:rsidRPr="00AE6DEB">
        <w:rPr>
          <w:rFonts w:ascii="Cambria" w:hAnsi="Cambria" w:cs="Arial"/>
          <w:sz w:val="24"/>
          <w:szCs w:val="24"/>
        </w:rPr>
        <w:t>Pericolul acestui element constă</w:t>
      </w:r>
      <w:r>
        <w:rPr>
          <w:rFonts w:ascii="Cambria" w:hAnsi="Cambria" w:cs="Arial"/>
          <w:sz w:val="24"/>
          <w:szCs w:val="24"/>
        </w:rPr>
        <w:t xml:space="preserve"> pe de o parte în probabilitatea încălcării unor drepturi şi libertăţi prevăzute de Constituţie, iar pe de altă parte în lipsa stabilităţii cadrului legal, deoarece o normă/lege poate fi declarată neconstituţională.</w:t>
      </w:r>
    </w:p>
    <w:p w:rsidR="00FA516C" w:rsidRDefault="00FA516C" w:rsidP="00FA516C">
      <w:pPr>
        <w:pStyle w:val="ListParagraph1"/>
        <w:spacing w:after="0" w:line="240" w:lineRule="auto"/>
        <w:ind w:left="0"/>
        <w:jc w:val="both"/>
        <w:rPr>
          <w:rFonts w:ascii="Cambria" w:hAnsi="Cambria" w:cs="Arial"/>
          <w:b/>
          <w:sz w:val="24"/>
          <w:szCs w:val="24"/>
        </w:rPr>
      </w:pPr>
    </w:p>
    <w:p w:rsidR="00FA516C" w:rsidRPr="000E1B68" w:rsidRDefault="00FA516C" w:rsidP="00FA516C">
      <w:pPr>
        <w:pStyle w:val="ListParagraph1"/>
        <w:spacing w:after="0" w:line="240" w:lineRule="auto"/>
        <w:ind w:left="0"/>
        <w:jc w:val="both"/>
        <w:rPr>
          <w:rFonts w:ascii="Cambria" w:hAnsi="Cambria" w:cs="Arial"/>
          <w:i/>
          <w:sz w:val="16"/>
          <w:szCs w:val="16"/>
        </w:rPr>
      </w:pPr>
      <w:r w:rsidRPr="00E537C1">
        <w:rPr>
          <w:rFonts w:ascii="Cambria" w:hAnsi="Cambria" w:cs="Arial"/>
          <w:b/>
          <w:i/>
          <w:sz w:val="16"/>
          <w:szCs w:val="16"/>
        </w:rPr>
        <w:t xml:space="preserve">Tabel </w:t>
      </w:r>
      <w:r>
        <w:rPr>
          <w:rFonts w:ascii="Cambria" w:hAnsi="Cambria" w:cs="Arial"/>
          <w:b/>
          <w:i/>
          <w:sz w:val="16"/>
          <w:szCs w:val="16"/>
        </w:rPr>
        <w:t>9.</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w:t>
      </w:r>
      <w:r w:rsidRPr="00BA3083">
        <w:rPr>
          <w:rFonts w:ascii="Cambria" w:hAnsi="Cambria" w:cs="Arial"/>
          <w:i/>
          <w:sz w:val="16"/>
          <w:szCs w:val="16"/>
        </w:rPr>
        <w:t xml:space="preserve">necorespunzătoare </w:t>
      </w:r>
      <w:r w:rsidRPr="000E1B68">
        <w:rPr>
          <w:rFonts w:ascii="Cambria" w:hAnsi="Cambria" w:cs="Arial"/>
          <w:i/>
          <w:sz w:val="16"/>
          <w:szCs w:val="16"/>
        </w:rPr>
        <w:t>jurisprudenţei Curţii Constituţionale</w:t>
      </w:r>
      <w:r>
        <w:rPr>
          <w:rFonts w:ascii="Cambria" w:hAnsi="Cambria" w:cs="Arial"/>
          <w:i/>
          <w:sz w:val="16"/>
          <w:szCs w:val="16"/>
        </w:rPr>
        <w:t xml:space="preserve"> 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 xml:space="preserve">Justiţie şi afaceri </w:t>
            </w:r>
            <w:r w:rsidRPr="00D55C3B">
              <w:rPr>
                <w:rFonts w:ascii="Cambria" w:hAnsi="Cambria" w:cs="Arial"/>
                <w:b/>
                <w:sz w:val="16"/>
                <w:szCs w:val="16"/>
              </w:rPr>
              <w:lastRenderedPageBreak/>
              <w:t>interne, drepturile şi libertăţile omului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lastRenderedPageBreak/>
              <w:t>Numărul de prevederi necorespunzătoare jurisprudenţei Curţii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15</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33,33%</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66,67%</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10</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10</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Legislaţia muncii, asigurarea socială şi ocrotirea sănătăţii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w:t>
            </w:r>
          </w:p>
        </w:tc>
      </w:tr>
      <w:tr w:rsidR="00FA516C" w:rsidRPr="00A11856"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necorespunzătoare jurisprudenţei Curţii Constituţionale,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bl>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hd w:val="clear" w:color="auto" w:fill="8DB3E2"/>
        <w:spacing w:after="0" w:line="240" w:lineRule="auto"/>
        <w:ind w:left="0"/>
        <w:jc w:val="both"/>
        <w:rPr>
          <w:rFonts w:ascii="Cambria" w:hAnsi="Cambria" w:cs="Arial"/>
          <w:b/>
          <w:sz w:val="24"/>
          <w:szCs w:val="24"/>
        </w:rPr>
      </w:pPr>
      <w:r w:rsidRPr="002F0489">
        <w:rPr>
          <w:rFonts w:ascii="Cambria" w:hAnsi="Cambria" w:cs="Arial"/>
          <w:sz w:val="24"/>
          <w:szCs w:val="24"/>
        </w:rPr>
        <w:t xml:space="preserve">Exemplu: </w:t>
      </w:r>
      <w:r w:rsidRPr="00EC5947">
        <w:rPr>
          <w:rFonts w:ascii="Cambria" w:hAnsi="Cambria" w:cs="Arial"/>
          <w:lang w:eastAsia="ru-RU"/>
        </w:rPr>
        <w:t>Codul educaţiei al Republicii Moldova, nr. 152  din  17.07.2014</w:t>
      </w: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7139C9" w:rsidTr="00FF1EF8">
        <w:tc>
          <w:tcPr>
            <w:tcW w:w="9571" w:type="dxa"/>
            <w:tcBorders>
              <w:left w:val="single" w:sz="4" w:space="0" w:color="F2F2F2"/>
              <w:right w:val="single" w:sz="4" w:space="0" w:color="F2F2F2"/>
            </w:tcBorders>
          </w:tcPr>
          <w:p w:rsidR="00FA516C" w:rsidRPr="000E1B68" w:rsidRDefault="00FA516C" w:rsidP="00FF1EF8">
            <w:pPr>
              <w:pStyle w:val="NoSpacing"/>
              <w:rPr>
                <w:rFonts w:ascii="Cambria" w:hAnsi="Cambria"/>
                <w:sz w:val="20"/>
                <w:szCs w:val="20"/>
                <w:lang w:val="ro-RO"/>
              </w:rPr>
            </w:pPr>
          </w:p>
          <w:p w:rsidR="00FA516C" w:rsidRPr="000E1B68" w:rsidRDefault="00FA516C" w:rsidP="00FF1EF8">
            <w:pPr>
              <w:pStyle w:val="NoSpacing"/>
              <w:rPr>
                <w:rFonts w:ascii="Cambria" w:hAnsi="Cambria"/>
                <w:b/>
                <w:i/>
                <w:sz w:val="20"/>
                <w:szCs w:val="20"/>
                <w:lang w:val="ro-RO"/>
              </w:rPr>
            </w:pPr>
            <w:r w:rsidRPr="000E1B68">
              <w:rPr>
                <w:rFonts w:ascii="Cambria" w:hAnsi="Cambria"/>
                <w:b/>
                <w:i/>
                <w:sz w:val="20"/>
                <w:szCs w:val="20"/>
                <w:lang w:val="ro-RO"/>
              </w:rPr>
              <w:t xml:space="preserve">Textul proiectului:  </w:t>
            </w:r>
          </w:p>
          <w:p w:rsidR="00FA516C" w:rsidRPr="000E1B68" w:rsidRDefault="00FA516C" w:rsidP="00FF1EF8">
            <w:pPr>
              <w:pStyle w:val="NoSpacing"/>
              <w:rPr>
                <w:rFonts w:ascii="Cambria" w:hAnsi="Cambria"/>
                <w:sz w:val="20"/>
                <w:szCs w:val="20"/>
                <w:lang w:val="ro-RO"/>
              </w:rPr>
            </w:pPr>
          </w:p>
          <w:p w:rsidR="00FA516C" w:rsidRPr="000E1B68" w:rsidRDefault="00FA516C" w:rsidP="00FF1EF8">
            <w:pPr>
              <w:pStyle w:val="NoSpacing"/>
              <w:ind w:left="1134"/>
              <w:rPr>
                <w:rFonts w:ascii="Cambria" w:eastAsia="Times New Roman" w:hAnsi="Cambria"/>
                <w:sz w:val="20"/>
                <w:szCs w:val="20"/>
                <w:lang w:val="ro-RO" w:eastAsia="ru-RU"/>
              </w:rPr>
            </w:pPr>
            <w:r w:rsidRPr="000E1B68">
              <w:rPr>
                <w:rFonts w:ascii="Cambria" w:eastAsia="Times New Roman" w:hAnsi="Cambria"/>
                <w:sz w:val="20"/>
                <w:szCs w:val="20"/>
                <w:lang w:val="ro-RO" w:eastAsia="ru-RU"/>
              </w:rPr>
              <w:t>Articolul 20. Înfiinţarea, reorganizarea şi dizolvarea instituţiilor de învăţămînt</w:t>
            </w:r>
          </w:p>
          <w:p w:rsidR="00FA516C" w:rsidRPr="00FA516C" w:rsidRDefault="00FA516C" w:rsidP="00F71666">
            <w:pPr>
              <w:pStyle w:val="NoSpacing"/>
              <w:ind w:left="1134"/>
              <w:jc w:val="both"/>
              <w:rPr>
                <w:rFonts w:ascii="Cambria" w:eastAsia="Times New Roman" w:hAnsi="Cambria"/>
                <w:sz w:val="20"/>
                <w:szCs w:val="20"/>
                <w:lang w:val="ro-RO" w:eastAsia="ru-RU"/>
              </w:rPr>
            </w:pPr>
            <w:r w:rsidRPr="00FA516C">
              <w:rPr>
                <w:rFonts w:ascii="Cambria" w:eastAsia="Times New Roman" w:hAnsi="Cambria"/>
                <w:sz w:val="20"/>
                <w:szCs w:val="20"/>
                <w:lang w:val="ro-RO" w:eastAsia="ru-RU"/>
              </w:rPr>
              <w:t>(1) Instituţiile publice de educaţie timpurie şi de învăţămînt primar, gimnazial, liceal şi extraşcolar sînt înfiinţate, reorganizate şi dizolvate de către autorităţile administraţiei publice locale, care finanţează instituţiile respective, în condiţiile legii. Autorităţile administraţiei publice locale au obligaţia de a asigura buna funcţionare a acestor instituţii, în conformitate cu regulamentele şi standardele aprobate de Ministerul Educa</w:t>
            </w:r>
            <w:r w:rsidRPr="00FA516C">
              <w:rPr>
                <w:rFonts w:ascii="Cambria" w:eastAsia="Times New Roman" w:hAnsi="Cambria" w:cs="Cambria Math"/>
                <w:sz w:val="20"/>
                <w:szCs w:val="20"/>
                <w:lang w:val="ro-RO" w:eastAsia="ru-RU"/>
              </w:rPr>
              <w:t>ț</w:t>
            </w:r>
            <w:r w:rsidRPr="00FA516C">
              <w:rPr>
                <w:rFonts w:ascii="Cambria" w:eastAsia="Times New Roman" w:hAnsi="Cambria"/>
                <w:sz w:val="20"/>
                <w:szCs w:val="20"/>
                <w:lang w:val="ro-RO" w:eastAsia="ru-RU"/>
              </w:rPr>
              <w:t>iei.</w:t>
            </w:r>
          </w:p>
        </w:tc>
      </w:tr>
      <w:tr w:rsidR="00FA516C" w:rsidRPr="004432AA" w:rsidTr="00FF1EF8">
        <w:tc>
          <w:tcPr>
            <w:tcW w:w="9571" w:type="dxa"/>
            <w:tcBorders>
              <w:left w:val="single" w:sz="4" w:space="0" w:color="F2F2F2"/>
              <w:right w:val="single" w:sz="4" w:space="0" w:color="F2F2F2"/>
            </w:tcBorders>
          </w:tcPr>
          <w:p w:rsidR="00FA516C" w:rsidRDefault="00FA516C" w:rsidP="00FF1EF8">
            <w:pPr>
              <w:pStyle w:val="ListParagraph1"/>
              <w:spacing w:after="0" w:line="240" w:lineRule="auto"/>
              <w:ind w:left="0"/>
              <w:jc w:val="both"/>
              <w:rPr>
                <w:rFonts w:ascii="Cambria" w:hAnsi="Cambria" w:cs="Arial"/>
                <w:b/>
                <w:i/>
                <w:sz w:val="20"/>
                <w:szCs w:val="20"/>
              </w:rPr>
            </w:pPr>
          </w:p>
          <w:p w:rsidR="00FA516C" w:rsidRPr="00440136" w:rsidRDefault="00FA516C" w:rsidP="00FF1EF8">
            <w:pPr>
              <w:pStyle w:val="ListParagraph1"/>
              <w:spacing w:after="0" w:line="240" w:lineRule="auto"/>
              <w:ind w:left="0"/>
              <w:jc w:val="both"/>
              <w:rPr>
                <w:rFonts w:ascii="Cambria" w:hAnsi="Cambria" w:cs="Arial"/>
                <w:b/>
                <w:i/>
                <w:sz w:val="20"/>
                <w:szCs w:val="20"/>
              </w:rPr>
            </w:pPr>
            <w:r w:rsidRPr="00A92093">
              <w:rPr>
                <w:rFonts w:ascii="Cambria" w:hAnsi="Cambria" w:cs="Arial"/>
                <w:b/>
                <w:i/>
                <w:sz w:val="20"/>
                <w:szCs w:val="20"/>
              </w:rPr>
              <w:t>Elementul de vulnerabilitate identificat şi recomandarea expertului:</w:t>
            </w:r>
            <w:r w:rsidRPr="00A92093">
              <w:rPr>
                <w:rFonts w:ascii="Cambria" w:hAnsi="Cambria" w:cs="Arial"/>
                <w:b/>
                <w:sz w:val="16"/>
                <w:szCs w:val="16"/>
              </w:rPr>
              <w:t xml:space="preserve">  </w:t>
            </w:r>
            <w:r w:rsidRPr="00C209CF">
              <w:rPr>
                <w:rFonts w:ascii="Cambria" w:hAnsi="Cambria" w:cs="Arial"/>
                <w:sz w:val="20"/>
                <w:szCs w:val="20"/>
                <w:u w:val="single"/>
              </w:rPr>
              <w:t>prevederi necorespunzătoare jurisprudenţei Curţii Constituţionale;</w:t>
            </w:r>
            <w:r w:rsidRPr="00440136">
              <w:rPr>
                <w:rFonts w:ascii="Cambria" w:hAnsi="Cambria" w:cs="Arial"/>
                <w:sz w:val="20"/>
                <w:szCs w:val="20"/>
              </w:rPr>
              <w:t xml:space="preserve"> p</w:t>
            </w:r>
            <w:r w:rsidRPr="00440136">
              <w:rPr>
                <w:rFonts w:ascii="Cambria" w:hAnsi="Cambria"/>
                <w:sz w:val="20"/>
                <w:szCs w:val="20"/>
              </w:rPr>
              <w:t>revederi necorespunzătoare normelor constituţionale;</w:t>
            </w:r>
            <w:r>
              <w:rPr>
                <w:rFonts w:ascii="Cambria" w:hAnsi="Cambria"/>
                <w:sz w:val="20"/>
                <w:szCs w:val="20"/>
              </w:rPr>
              <w:t xml:space="preserve"> </w:t>
            </w:r>
            <w:r w:rsidRPr="00440136">
              <w:rPr>
                <w:rFonts w:ascii="Cambria" w:hAnsi="Cambria" w:cs="Arial"/>
                <w:sz w:val="20"/>
                <w:szCs w:val="20"/>
              </w:rPr>
              <w:t>p</w:t>
            </w:r>
            <w:r w:rsidRPr="00440136">
              <w:rPr>
                <w:rFonts w:ascii="Cambria" w:hAnsi="Cambria"/>
                <w:sz w:val="20"/>
                <w:szCs w:val="20"/>
              </w:rPr>
              <w:t>revederi necorespunzătoare normelor din legislaţia corelativă; prevederi necorespunzătoare standardelor internaţionale;</w:t>
            </w:r>
          </w:p>
          <w:p w:rsidR="00FA516C" w:rsidRPr="00C209CF" w:rsidRDefault="00FA516C" w:rsidP="00FF1EF8">
            <w:pPr>
              <w:spacing w:before="100" w:beforeAutospacing="1" w:after="100" w:afterAutospacing="1"/>
              <w:rPr>
                <w:rFonts w:ascii="Cambria" w:eastAsia="Times New Roman" w:hAnsi="Cambria"/>
                <w:sz w:val="20"/>
                <w:szCs w:val="20"/>
                <w:lang w:val="en-US" w:eastAsia="ru-RU"/>
              </w:rPr>
            </w:pPr>
            <w:r w:rsidRPr="00517FF6">
              <w:rPr>
                <w:rFonts w:ascii="Cambria" w:hAnsi="Cambria" w:cs="Arial"/>
                <w:b/>
                <w:i/>
                <w:sz w:val="20"/>
                <w:szCs w:val="20"/>
                <w:lang w:val="fr-FR"/>
              </w:rPr>
              <w:t>Obiecţia expertului:</w:t>
            </w:r>
            <w:r w:rsidRPr="00517FF6">
              <w:rPr>
                <w:rFonts w:ascii="Cambria" w:hAnsi="Cambria"/>
                <w:sz w:val="20"/>
                <w:szCs w:val="20"/>
                <w:lang w:val="fr-FR" w:eastAsia="ru-RU"/>
              </w:rPr>
              <w:t xml:space="preserve"> </w:t>
            </w:r>
            <w:r w:rsidRPr="00FC4C3D">
              <w:rPr>
                <w:rFonts w:ascii="Cambria" w:eastAsia="Times New Roman" w:hAnsi="Cambria"/>
                <w:sz w:val="20"/>
                <w:szCs w:val="20"/>
                <w:lang w:val="fr-FR" w:eastAsia="ru-RU"/>
              </w:rPr>
              <w:t xml:space="preserve">Textul expus de autor este unul lacunar </w:t>
            </w:r>
            <w:r w:rsidRPr="00FC4C3D">
              <w:rPr>
                <w:rFonts w:ascii="Cambria" w:eastAsia="Times New Roman" w:hAnsi="Cambria" w:cs="Cambria Math"/>
                <w:sz w:val="20"/>
                <w:szCs w:val="20"/>
                <w:lang w:val="fr-FR" w:eastAsia="ru-RU"/>
              </w:rPr>
              <w:t>ș</w:t>
            </w:r>
            <w:r w:rsidRPr="00FC4C3D">
              <w:rPr>
                <w:rFonts w:ascii="Cambria" w:eastAsia="Times New Roman" w:hAnsi="Cambria"/>
                <w:sz w:val="20"/>
                <w:szCs w:val="20"/>
                <w:lang w:val="fr-FR" w:eastAsia="ru-RU"/>
              </w:rPr>
              <w:t>i confuz</w:t>
            </w:r>
            <w:r>
              <w:rPr>
                <w:rFonts w:ascii="Cambria" w:eastAsia="Times New Roman" w:hAnsi="Cambria"/>
                <w:sz w:val="20"/>
                <w:szCs w:val="20"/>
                <w:lang w:val="fr-FR" w:eastAsia="ru-RU"/>
              </w:rPr>
              <w:t xml:space="preserve">…. </w:t>
            </w:r>
            <w:r w:rsidRPr="00FC4C3D">
              <w:rPr>
                <w:rFonts w:ascii="Cambria" w:eastAsia="Times New Roman" w:hAnsi="Cambria"/>
                <w:sz w:val="20"/>
                <w:szCs w:val="20"/>
                <w:lang w:val="fr-FR" w:eastAsia="ru-RU"/>
              </w:rPr>
              <w:t xml:space="preserve"> în hotărîrea din 23.05.2013, Curtea a subliniat că, fiind de competenţa exclusivă a statului, domeniul educaţiei nu poate fi descentralizat şi dat în competenţa proprie a autorităţilor administraţiei publice locale. </w:t>
            </w:r>
            <w:r w:rsidRPr="00FC4C3D">
              <w:rPr>
                <w:rFonts w:ascii="Cambria" w:eastAsia="Times New Roman" w:hAnsi="Cambria"/>
                <w:sz w:val="20"/>
                <w:szCs w:val="20"/>
                <w:lang w:val="en-US" w:eastAsia="ru-RU"/>
              </w:rPr>
              <w:t>Către administraţia publică locală pot fi delegate, prin lege, doar unele competenţe, cu asigurarea finanţării adecvate a acestora.</w:t>
            </w:r>
            <w:r>
              <w:rPr>
                <w:rFonts w:ascii="Cambria" w:eastAsia="Times New Roman" w:hAnsi="Cambria"/>
                <w:sz w:val="20"/>
                <w:szCs w:val="20"/>
                <w:lang w:val="en-US" w:eastAsia="ru-RU"/>
              </w:rPr>
              <w:t xml:space="preserve"> </w:t>
            </w:r>
            <w:r w:rsidRPr="00FC4C3D">
              <w:rPr>
                <w:rFonts w:ascii="Cambria" w:eastAsia="Times New Roman" w:hAnsi="Cambria"/>
                <w:sz w:val="20"/>
                <w:szCs w:val="20"/>
                <w:lang w:val="en-US" w:eastAsia="ru-RU"/>
              </w:rPr>
              <w:t xml:space="preserve">Curtea a mai constatat faptul că autorităţile administraţiei publice locale de nivelul întâi, prin coordonare prealabilă cu Ministerul Educaţiei, vor decide înfiinţarea, reorganizarea sau lichidarea instituţiilor de stat de învăţământ preşcolar şi extraşcolar, iar prin coordonare prealabilă cu Ministerul Educaţiei, autorităţile administraţiei publice locale de nivelul al doilea decid înfiinţarea, reorganizarea sau lichidarea instituţiilor de stat de învăţământ primar, gimnazial, liceal şi extraşcolar. În acest sens, Curtea Constituţională a considerat că, </w:t>
            </w:r>
            <w:r w:rsidRPr="00FC4C3D">
              <w:rPr>
                <w:rFonts w:ascii="Cambria" w:eastAsia="Times New Roman" w:hAnsi="Cambria" w:cs="Cambria Math"/>
                <w:sz w:val="20"/>
                <w:szCs w:val="20"/>
                <w:lang w:val="en-US" w:eastAsia="ru-RU"/>
              </w:rPr>
              <w:t>ț</w:t>
            </w:r>
            <w:r w:rsidRPr="00FC4C3D">
              <w:rPr>
                <w:rFonts w:ascii="Cambria" w:eastAsia="Times New Roman" w:hAnsi="Cambria"/>
                <w:sz w:val="20"/>
                <w:szCs w:val="20"/>
                <w:lang w:val="en-US" w:eastAsia="ru-RU"/>
              </w:rPr>
              <w:t>inînd cont de faptul că unităţile administrativ-teritoriale de nivelul întîi nu sunt în măsură să asigure în mod eficient organizarea şi finanţarea învăţămîntului, aceste atribuţii au fost redelegate celor de nivelul al doilea.</w:t>
            </w:r>
            <w:r>
              <w:rPr>
                <w:rFonts w:ascii="Cambria" w:eastAsia="Times New Roman" w:hAnsi="Cambria"/>
                <w:sz w:val="20"/>
                <w:szCs w:val="20"/>
                <w:lang w:val="en-US" w:eastAsia="ru-RU"/>
              </w:rPr>
              <w:t xml:space="preserve"> </w:t>
            </w:r>
            <w:r w:rsidRPr="00FC4C3D">
              <w:rPr>
                <w:rFonts w:ascii="Cambria" w:eastAsia="Times New Roman" w:hAnsi="Cambria"/>
                <w:sz w:val="20"/>
                <w:szCs w:val="20"/>
                <w:lang w:val="en-US" w:eastAsia="ru-RU"/>
              </w:rPr>
              <w:t xml:space="preserve">Prin urmare, considerăm că textul dat al proiectului urmează să fie ajustat cu conceptul competenţei exclusive a statului asupra educaţiei şi competenţe delegate pentru autorităţile locale de nivelul I </w:t>
            </w:r>
            <w:r w:rsidRPr="00FC4C3D">
              <w:rPr>
                <w:rFonts w:ascii="Cambria" w:eastAsia="Times New Roman" w:hAnsi="Cambria" w:cs="Cambria Math"/>
                <w:sz w:val="20"/>
                <w:szCs w:val="20"/>
                <w:lang w:val="en-US" w:eastAsia="ru-RU"/>
              </w:rPr>
              <w:t>ș</w:t>
            </w:r>
            <w:r w:rsidRPr="00FC4C3D">
              <w:rPr>
                <w:rFonts w:ascii="Cambria" w:eastAsia="Times New Roman" w:hAnsi="Cambria"/>
                <w:sz w:val="20"/>
                <w:szCs w:val="20"/>
                <w:lang w:val="en-US" w:eastAsia="ru-RU"/>
              </w:rPr>
              <w:t xml:space="preserve">i II. </w:t>
            </w:r>
            <w:r>
              <w:rPr>
                <w:rFonts w:ascii="Cambria" w:eastAsia="Times New Roman" w:hAnsi="Cambria"/>
                <w:sz w:val="20"/>
                <w:szCs w:val="20"/>
                <w:lang w:val="en-US" w:eastAsia="ru-RU"/>
              </w:rPr>
              <w:t>……..</w:t>
            </w:r>
          </w:p>
          <w:p w:rsidR="00FA516C" w:rsidRDefault="00FA516C" w:rsidP="00FF1EF8">
            <w:pPr>
              <w:pStyle w:val="NoSpacing"/>
              <w:rPr>
                <w:rFonts w:asciiTheme="majorHAnsi" w:hAnsiTheme="majorHAnsi"/>
                <w:sz w:val="20"/>
                <w:szCs w:val="20"/>
                <w:lang w:val="ro-RO"/>
              </w:rPr>
            </w:pPr>
            <w:r w:rsidRPr="00FD6DBB">
              <w:rPr>
                <w:rFonts w:asciiTheme="majorHAnsi" w:hAnsiTheme="majorHAnsi"/>
                <w:b/>
                <w:i/>
                <w:sz w:val="20"/>
                <w:szCs w:val="20"/>
                <w:lang w:val="fr-FR"/>
              </w:rPr>
              <w:lastRenderedPageBreak/>
              <w:t>Recomandarea:</w:t>
            </w:r>
            <w:r w:rsidRPr="00FD6DBB">
              <w:rPr>
                <w:rFonts w:asciiTheme="majorHAnsi" w:hAnsiTheme="majorHAnsi"/>
                <w:sz w:val="20"/>
                <w:szCs w:val="20"/>
                <w:lang w:val="fr-FR"/>
              </w:rPr>
              <w:t xml:space="preserve"> </w:t>
            </w:r>
            <w:r w:rsidRPr="00FD6DBB">
              <w:rPr>
                <w:rFonts w:asciiTheme="majorHAnsi" w:hAnsiTheme="majorHAnsi"/>
                <w:sz w:val="20"/>
                <w:szCs w:val="20"/>
              </w:rPr>
              <w:t>Recomandăm revizuirea textului normei, luînd în considerație obiecțiile formulate.</w:t>
            </w:r>
          </w:p>
          <w:p w:rsidR="00FA516C" w:rsidRPr="00FD6DBB" w:rsidRDefault="00FA516C" w:rsidP="00FF1EF8">
            <w:pPr>
              <w:pStyle w:val="NoSpacing"/>
              <w:rPr>
                <w:rFonts w:asciiTheme="majorHAnsi" w:hAnsiTheme="majorHAnsi"/>
                <w:sz w:val="20"/>
                <w:szCs w:val="20"/>
                <w:lang w:val="ro-RO"/>
              </w:rPr>
            </w:pPr>
          </w:p>
        </w:tc>
      </w:tr>
      <w:tr w:rsidR="00FA516C" w:rsidRPr="007139C9" w:rsidTr="00FF1EF8">
        <w:tc>
          <w:tcPr>
            <w:tcW w:w="9571" w:type="dxa"/>
            <w:tcBorders>
              <w:left w:val="single" w:sz="4" w:space="0" w:color="F2F2F2"/>
              <w:right w:val="single" w:sz="4" w:space="0" w:color="F2F2F2"/>
            </w:tcBorders>
          </w:tcPr>
          <w:p w:rsidR="00FA516C" w:rsidRDefault="00FA516C" w:rsidP="00FF1EF8">
            <w:pPr>
              <w:pStyle w:val="NormalWeb"/>
              <w:rPr>
                <w:rFonts w:ascii="Cambria" w:hAnsi="Cambria" w:cs="Arial"/>
                <w:b/>
                <w:i/>
                <w:sz w:val="20"/>
                <w:szCs w:val="20"/>
                <w:lang w:val="ro-RO"/>
              </w:rPr>
            </w:pPr>
          </w:p>
          <w:p w:rsidR="00FA516C" w:rsidRDefault="00FA516C" w:rsidP="00FF1EF8">
            <w:pPr>
              <w:pStyle w:val="NormalWeb"/>
              <w:rPr>
                <w:rFonts w:ascii="Cambria" w:hAnsi="Cambria" w:cs="Arial"/>
                <w:sz w:val="20"/>
                <w:szCs w:val="20"/>
                <w:lang w:val="ro-RO"/>
              </w:rPr>
            </w:pPr>
            <w:r w:rsidRPr="001679C9">
              <w:rPr>
                <w:rFonts w:ascii="Cambria" w:hAnsi="Cambria" w:cs="Arial"/>
                <w:b/>
                <w:i/>
                <w:sz w:val="20"/>
                <w:szCs w:val="20"/>
                <w:lang w:val="ro-RO"/>
              </w:rPr>
              <w:t>Textul Legii adoptate:</w:t>
            </w:r>
            <w:r w:rsidRPr="00924B3F">
              <w:rPr>
                <w:rFonts w:ascii="Cambria" w:hAnsi="Cambria" w:cs="Arial"/>
                <w:sz w:val="20"/>
                <w:szCs w:val="20"/>
                <w:lang w:val="ro-RO"/>
              </w:rPr>
              <w:t xml:space="preserve"> </w:t>
            </w:r>
          </w:p>
          <w:p w:rsidR="00FA516C" w:rsidRPr="00FC4C3D" w:rsidRDefault="00FA516C" w:rsidP="00FF1EF8">
            <w:pPr>
              <w:pStyle w:val="NormalWeb"/>
              <w:rPr>
                <w:rFonts w:ascii="Cambria" w:hAnsi="Cambria"/>
                <w:sz w:val="20"/>
                <w:szCs w:val="20"/>
                <w:lang w:val="ro-RO"/>
              </w:rPr>
            </w:pPr>
            <w:r w:rsidRPr="00FC4C3D">
              <w:rPr>
                <w:rFonts w:ascii="Cambria" w:hAnsi="Cambria"/>
                <w:b/>
                <w:bCs/>
                <w:sz w:val="20"/>
                <w:szCs w:val="20"/>
                <w:lang w:val="ro-RO"/>
              </w:rPr>
              <w:t>Articolul 21.</w:t>
            </w:r>
            <w:r w:rsidRPr="00FC4C3D">
              <w:rPr>
                <w:rFonts w:ascii="Cambria" w:hAnsi="Cambria"/>
                <w:sz w:val="20"/>
                <w:szCs w:val="20"/>
                <w:lang w:val="ro-RO"/>
              </w:rPr>
              <w:t xml:space="preserve"> Înfiinţarea, reorganizarea şi lichidarea instituţiilor de învăţămînt general</w:t>
            </w:r>
          </w:p>
          <w:p w:rsidR="00FA516C" w:rsidRPr="00FC4C3D" w:rsidRDefault="00FA516C" w:rsidP="00F71666">
            <w:pPr>
              <w:pStyle w:val="NormalWeb"/>
              <w:jc w:val="both"/>
              <w:rPr>
                <w:rFonts w:ascii="Cambria" w:hAnsi="Cambria"/>
                <w:sz w:val="20"/>
                <w:szCs w:val="20"/>
                <w:lang w:val="ro-RO"/>
              </w:rPr>
            </w:pPr>
            <w:r w:rsidRPr="00FC4C3D">
              <w:rPr>
                <w:rFonts w:ascii="Cambria" w:hAnsi="Cambria"/>
                <w:sz w:val="20"/>
                <w:szCs w:val="20"/>
                <w:lang w:val="ro-RO"/>
              </w:rPr>
              <w:t>(1) Instituţiile publice de educaţie timpurie (educaţie antepreşcolară şi învăţămînt preşcolar) şi de învăţămînt extraşcolar (de nivel local) sînt înfiinţate, reorganizate şi lichidate de către autorităţile administraţiei publice locale de nivelul întîi. Instituţiile publice de învăţămînt primar, gimnazial, liceal şi extraşcolar (de nivel raional) sînt înfiinţate, reorganizate şi lichidate de către autorităţile administraţiei publice locale de nivelul al doilea şi ale UTA Găgăuzia. Autorităţile administraţiei publice locale au obligaţia de a asigura buna funcţionare a acestor instituţii în conformitate cu regulamentele şi standardele aprobate de Ministerul Educaţiei.</w:t>
            </w:r>
          </w:p>
          <w:p w:rsidR="00FA516C" w:rsidRPr="00517FF6" w:rsidRDefault="00FA516C" w:rsidP="00FF1EF8">
            <w:pPr>
              <w:pStyle w:val="NormalWeb"/>
              <w:rPr>
                <w:rFonts w:ascii="Cambria" w:hAnsi="Cambria"/>
                <w:sz w:val="20"/>
                <w:szCs w:val="20"/>
                <w:lang w:val="ro-RO"/>
              </w:rPr>
            </w:pPr>
          </w:p>
        </w:tc>
      </w:tr>
    </w:tbl>
    <w:p w:rsidR="00FA516C" w:rsidRPr="00517FF6"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7139C9">
      <w:pPr>
        <w:pStyle w:val="Heading1"/>
      </w:pPr>
      <w:bookmarkStart w:id="39" w:name="_Toc409790644"/>
      <w:r w:rsidRPr="00CF6E0F">
        <w:t>IV.10 Prevederi discriminatorii</w:t>
      </w:r>
      <w:bookmarkEnd w:id="39"/>
    </w:p>
    <w:p w:rsidR="00FA516C" w:rsidRDefault="00FA516C" w:rsidP="00FA516C">
      <w:pPr>
        <w:pStyle w:val="ListParagraph1"/>
        <w:spacing w:after="0" w:line="240" w:lineRule="auto"/>
        <w:ind w:left="0"/>
        <w:jc w:val="both"/>
        <w:rPr>
          <w:rFonts w:ascii="Cambria" w:hAnsi="Cambria" w:cs="Arial"/>
          <w:b/>
          <w:sz w:val="24"/>
          <w:szCs w:val="24"/>
        </w:rPr>
      </w:pPr>
    </w:p>
    <w:p w:rsidR="00FA516C" w:rsidRPr="000656F0" w:rsidRDefault="00FA516C" w:rsidP="00FA516C">
      <w:pPr>
        <w:pStyle w:val="ListParagraph1"/>
        <w:spacing w:after="0" w:line="240" w:lineRule="auto"/>
        <w:ind w:left="0"/>
        <w:jc w:val="both"/>
        <w:rPr>
          <w:rFonts w:ascii="Cambria" w:hAnsi="Cambria" w:cs="Arial"/>
          <w:sz w:val="24"/>
          <w:szCs w:val="24"/>
        </w:rPr>
      </w:pPr>
      <w:r w:rsidRPr="000656F0">
        <w:rPr>
          <w:rFonts w:ascii="Cambria" w:hAnsi="Cambria" w:cs="Arial"/>
          <w:i/>
          <w:sz w:val="24"/>
          <w:szCs w:val="24"/>
        </w:rPr>
        <w:t>Prevederi discriminatorii</w:t>
      </w:r>
      <w:r>
        <w:rPr>
          <w:rFonts w:ascii="Cambria" w:hAnsi="Cambria" w:cs="Arial"/>
          <w:i/>
          <w:sz w:val="24"/>
          <w:szCs w:val="24"/>
        </w:rPr>
        <w:t xml:space="preserve"> </w:t>
      </w:r>
      <w:r>
        <w:rPr>
          <w:rFonts w:ascii="Cambria" w:hAnsi="Cambria" w:cs="Arial"/>
          <w:sz w:val="24"/>
          <w:szCs w:val="24"/>
        </w:rPr>
        <w:t xml:space="preserve"> sunt normele care stabilesc criterii sau practici aparent neutre, care dezavantajează anumite categorii de persoane, cu excepţia situaţiei în care acestea  sunt justificate obiectiv de un scop legitim, iar metodele de atingere a acestui scop sunt adecvate şi necesare. </w:t>
      </w:r>
    </w:p>
    <w:p w:rsidR="00FA516C" w:rsidRDefault="00FA516C" w:rsidP="00FA516C">
      <w:pPr>
        <w:pStyle w:val="ListParagraph1"/>
        <w:spacing w:after="0" w:line="240" w:lineRule="auto"/>
        <w:ind w:left="0"/>
        <w:jc w:val="both"/>
        <w:rPr>
          <w:rFonts w:ascii="Cambria" w:hAnsi="Cambria" w:cs="Arial"/>
          <w:b/>
          <w:sz w:val="24"/>
          <w:szCs w:val="24"/>
        </w:rPr>
      </w:pPr>
    </w:p>
    <w:p w:rsidR="00FA516C" w:rsidRPr="00843ABA" w:rsidRDefault="00FA516C" w:rsidP="00FA516C">
      <w:pPr>
        <w:pStyle w:val="ListParagraph1"/>
        <w:spacing w:after="0" w:line="240" w:lineRule="auto"/>
        <w:ind w:left="0"/>
        <w:jc w:val="both"/>
        <w:rPr>
          <w:rFonts w:ascii="Cambria" w:hAnsi="Cambria" w:cs="Arial"/>
          <w:sz w:val="24"/>
          <w:szCs w:val="24"/>
        </w:rPr>
      </w:pPr>
      <w:r w:rsidRPr="00843ABA">
        <w:rPr>
          <w:rFonts w:ascii="Cambria" w:hAnsi="Cambria" w:cs="Arial"/>
          <w:sz w:val="24"/>
          <w:szCs w:val="24"/>
        </w:rPr>
        <w:t xml:space="preserve">Pericolul acestui element constă în încălcarea drepturilor şi libertăţilor categoriilor de persoane discriminate. </w:t>
      </w:r>
    </w:p>
    <w:p w:rsidR="00FA516C" w:rsidRDefault="00FA516C" w:rsidP="00FA516C">
      <w:pPr>
        <w:pStyle w:val="ListParagraph1"/>
        <w:spacing w:after="0" w:line="240" w:lineRule="auto"/>
        <w:ind w:left="0"/>
        <w:jc w:val="both"/>
        <w:rPr>
          <w:rFonts w:ascii="Cambria" w:hAnsi="Cambria" w:cs="Arial"/>
          <w:b/>
          <w:sz w:val="24"/>
          <w:szCs w:val="24"/>
        </w:rPr>
      </w:pPr>
    </w:p>
    <w:p w:rsidR="00FA516C" w:rsidRPr="00CF6E0F" w:rsidRDefault="00FA516C" w:rsidP="00FA516C">
      <w:pPr>
        <w:pStyle w:val="ListParagraph1"/>
        <w:spacing w:after="0" w:line="240" w:lineRule="auto"/>
        <w:ind w:left="0"/>
        <w:jc w:val="both"/>
        <w:rPr>
          <w:rFonts w:ascii="Cambria" w:hAnsi="Cambria" w:cs="Arial"/>
          <w:i/>
          <w:sz w:val="16"/>
          <w:szCs w:val="16"/>
        </w:rPr>
      </w:pPr>
      <w:r w:rsidRPr="00E537C1">
        <w:rPr>
          <w:rFonts w:ascii="Cambria" w:hAnsi="Cambria" w:cs="Arial"/>
          <w:b/>
          <w:i/>
          <w:sz w:val="16"/>
          <w:szCs w:val="16"/>
        </w:rPr>
        <w:t xml:space="preserve">Tabel </w:t>
      </w:r>
      <w:r>
        <w:rPr>
          <w:rFonts w:ascii="Cambria" w:hAnsi="Cambria" w:cs="Arial"/>
          <w:b/>
          <w:i/>
          <w:sz w:val="16"/>
          <w:szCs w:val="16"/>
        </w:rPr>
        <w:t>10.</w:t>
      </w:r>
      <w:r w:rsidRPr="00E537C1">
        <w:rPr>
          <w:rFonts w:ascii="Cambria" w:hAnsi="Cambria" w:cs="Arial"/>
          <w:b/>
          <w:i/>
          <w:sz w:val="16"/>
          <w:szCs w:val="16"/>
        </w:rPr>
        <w:t xml:space="preserve"> </w:t>
      </w:r>
      <w:r w:rsidRPr="006607BA">
        <w:rPr>
          <w:rFonts w:ascii="Cambria" w:hAnsi="Cambria" w:cs="Arial"/>
          <w:i/>
          <w:sz w:val="16"/>
          <w:szCs w:val="16"/>
        </w:rPr>
        <w:t xml:space="preserve">Ponderea </w:t>
      </w:r>
      <w:r>
        <w:rPr>
          <w:rFonts w:ascii="Cambria" w:hAnsi="Cambria" w:cs="Arial"/>
          <w:i/>
          <w:sz w:val="16"/>
          <w:szCs w:val="16"/>
        </w:rPr>
        <w:t xml:space="preserve"> </w:t>
      </w:r>
      <w:r w:rsidRPr="006607BA">
        <w:rPr>
          <w:rFonts w:ascii="Cambria" w:hAnsi="Cambria" w:cs="Arial"/>
          <w:i/>
          <w:sz w:val="16"/>
          <w:szCs w:val="16"/>
        </w:rPr>
        <w:t xml:space="preserve">prevederilor </w:t>
      </w:r>
      <w:r w:rsidRPr="00CF6E0F">
        <w:rPr>
          <w:rFonts w:ascii="Cambria" w:hAnsi="Cambria" w:cs="Arial"/>
          <w:i/>
          <w:sz w:val="16"/>
          <w:szCs w:val="16"/>
        </w:rPr>
        <w:t>discriminatorii</w:t>
      </w:r>
      <w:r>
        <w:rPr>
          <w:rFonts w:ascii="Cambria" w:hAnsi="Cambria" w:cs="Arial"/>
          <w:i/>
          <w:sz w:val="16"/>
          <w:szCs w:val="16"/>
        </w:rPr>
        <w:t xml:space="preserve"> ş</w:t>
      </w:r>
      <w:r w:rsidRPr="006607BA">
        <w:rPr>
          <w:rFonts w:ascii="Cambria" w:hAnsi="Cambria" w:cs="Arial"/>
          <w:i/>
          <w:sz w:val="16"/>
          <w:szCs w:val="16"/>
        </w:rPr>
        <w:t>i eficien</w:t>
      </w:r>
      <w:r>
        <w:rPr>
          <w:rFonts w:ascii="Cambria" w:hAnsi="Cambria" w:cs="Arial"/>
          <w:i/>
          <w:sz w:val="16"/>
          <w:szCs w:val="16"/>
        </w:rPr>
        <w:t>ţa obiecţiilor formulate după domenii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
        <w:gridCol w:w="1253"/>
        <w:gridCol w:w="6520"/>
        <w:gridCol w:w="1011"/>
      </w:tblGrid>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w:t>
            </w:r>
          </w:p>
        </w:tc>
        <w:tc>
          <w:tcPr>
            <w:tcW w:w="1253" w:type="dxa"/>
            <w:vMerge w:val="restart"/>
            <w:tcBorders>
              <w:top w:val="single" w:sz="8" w:space="0" w:color="auto"/>
            </w:tcBorders>
          </w:tcPr>
          <w:p w:rsidR="00FA516C" w:rsidRPr="00D55C3B" w:rsidRDefault="00FA516C" w:rsidP="00FF1EF8">
            <w:pPr>
              <w:pStyle w:val="ListParagraph1"/>
              <w:spacing w:after="0" w:line="240" w:lineRule="auto"/>
              <w:ind w:left="0"/>
              <w:rPr>
                <w:rFonts w:ascii="Cambria" w:hAnsi="Cambria"/>
                <w:b/>
                <w:sz w:val="16"/>
                <w:szCs w:val="16"/>
              </w:rPr>
            </w:pPr>
            <w:r w:rsidRPr="00D55C3B">
              <w:rPr>
                <w:rFonts w:ascii="Cambria" w:hAnsi="Cambria" w:cs="Arial"/>
                <w:b/>
                <w:sz w:val="16"/>
                <w:szCs w:val="16"/>
              </w:rPr>
              <w:t>Justiţie şi afaceri interne, drepturile şi libertăţile omului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31</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40%</w:t>
            </w:r>
          </w:p>
        </w:tc>
      </w:tr>
      <w:tr w:rsidR="00FA516C" w:rsidRPr="00055AF4" w:rsidTr="00FF1EF8">
        <w:tc>
          <w:tcPr>
            <w:tcW w:w="415" w:type="dxa"/>
            <w:vMerge w:val="restart"/>
            <w:tcBorders>
              <w:top w:val="single" w:sz="8" w:space="0" w:color="auto"/>
            </w:tcBorders>
            <w:textDirection w:val="btLr"/>
          </w:tcPr>
          <w:p w:rsidR="00FA516C" w:rsidRPr="00476F3C" w:rsidRDefault="00FA516C" w:rsidP="00FF1EF8">
            <w:pPr>
              <w:pStyle w:val="ListParagraph1"/>
              <w:spacing w:after="0" w:line="240" w:lineRule="auto"/>
              <w:ind w:left="113" w:right="113"/>
              <w:jc w:val="center"/>
              <w:rPr>
                <w:rFonts w:ascii="Cambria" w:hAnsi="Cambria"/>
                <w:sz w:val="16"/>
                <w:szCs w:val="16"/>
              </w:rPr>
            </w:pPr>
            <w:r w:rsidRPr="00476F3C">
              <w:rPr>
                <w:rFonts w:ascii="Cambria" w:hAnsi="Cambria"/>
                <w:sz w:val="16"/>
                <w:szCs w:val="16"/>
              </w:rPr>
              <w:t>Domeniul  II.</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Economie şi comerţ</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7</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II</w:t>
            </w:r>
            <w:r>
              <w:rPr>
                <w:rFonts w:ascii="Cambria" w:hAnsi="Cambria"/>
                <w:sz w:val="16"/>
                <w:szCs w:val="16"/>
              </w:rPr>
              <w:t>I</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Buget şi finanţe</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0%</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sidRPr="00476F3C">
              <w:rPr>
                <w:rFonts w:ascii="Cambria" w:hAnsi="Cambria"/>
                <w:sz w:val="16"/>
                <w:szCs w:val="16"/>
              </w:rPr>
              <w:t>Domeniul  I</w:t>
            </w:r>
            <w:r>
              <w:rPr>
                <w:rFonts w:ascii="Cambria" w:hAnsi="Cambria"/>
                <w:sz w:val="16"/>
                <w:szCs w:val="16"/>
              </w:rPr>
              <w:t>V</w:t>
            </w:r>
            <w:r w:rsidRPr="00476F3C">
              <w:rPr>
                <w:rFonts w:ascii="Cambria" w:hAnsi="Cambria"/>
                <w:sz w:val="16"/>
                <w:szCs w:val="16"/>
              </w:rPr>
              <w:t>.</w:t>
            </w:r>
          </w:p>
        </w:tc>
        <w:tc>
          <w:tcPr>
            <w:tcW w:w="1253" w:type="dxa"/>
            <w:vMerge w:val="restart"/>
            <w:tcBorders>
              <w:top w:val="single" w:sz="8" w:space="0" w:color="auto"/>
            </w:tcBorders>
          </w:tcPr>
          <w:p w:rsidR="00FA516C" w:rsidRPr="005F4EA1" w:rsidRDefault="00FA516C" w:rsidP="00FF1EF8">
            <w:pPr>
              <w:pStyle w:val="ListParagraph1"/>
              <w:spacing w:after="0" w:line="240" w:lineRule="auto"/>
              <w:ind w:left="0"/>
              <w:jc w:val="both"/>
              <w:rPr>
                <w:rFonts w:ascii="Cambria" w:hAnsi="Cambria" w:cs="Arial"/>
                <w:b/>
                <w:sz w:val="16"/>
                <w:szCs w:val="16"/>
              </w:rPr>
            </w:pPr>
            <w:r w:rsidRPr="005F4EA1">
              <w:rPr>
                <w:rFonts w:ascii="Cambria" w:hAnsi="Cambria" w:cs="Arial"/>
                <w:b/>
                <w:sz w:val="16"/>
                <w:szCs w:val="16"/>
              </w:rPr>
              <w:t>Educaţie, cultură, culte şi mass-media</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12</w:t>
            </w:r>
          </w:p>
        </w:tc>
      </w:tr>
      <w:tr w:rsidR="00FA516C" w:rsidRPr="00A11856"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12</w:t>
            </w:r>
          </w:p>
        </w:tc>
      </w:tr>
      <w:tr w:rsidR="00FA516C" w:rsidRPr="00055AF4" w:rsidTr="00FF1EF8">
        <w:tc>
          <w:tcPr>
            <w:tcW w:w="415" w:type="dxa"/>
            <w:vMerge/>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5</w:t>
            </w:r>
          </w:p>
        </w:tc>
      </w:tr>
      <w:tr w:rsidR="00FA516C" w:rsidRPr="00055AF4" w:rsidTr="00FF1EF8">
        <w:tc>
          <w:tcPr>
            <w:tcW w:w="415" w:type="dxa"/>
            <w:vMerge/>
            <w:tcBorders>
              <w:bottom w:val="single" w:sz="8" w:space="0" w:color="auto"/>
            </w:tcBorders>
          </w:tcPr>
          <w:p w:rsidR="00FA516C" w:rsidRPr="00055AF4" w:rsidRDefault="00FA516C" w:rsidP="00FF1EF8">
            <w:pPr>
              <w:pStyle w:val="ListParagraph1"/>
              <w:spacing w:after="0" w:line="240" w:lineRule="auto"/>
              <w:ind w:left="0"/>
              <w:jc w:val="center"/>
              <w:rPr>
                <w:rFonts w:ascii="Cambria" w:hAnsi="Cambria" w:cs="Arial"/>
                <w:b/>
                <w:sz w:val="24"/>
                <w:szCs w:val="24"/>
              </w:rPr>
            </w:pPr>
          </w:p>
        </w:tc>
        <w:tc>
          <w:tcPr>
            <w:tcW w:w="1253" w:type="dxa"/>
            <w:vMerge/>
            <w:tcBorders>
              <w:bottom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Borders>
              <w:bottom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Borders>
              <w:bottom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41,67%</w:t>
            </w:r>
          </w:p>
        </w:tc>
      </w:tr>
      <w:tr w:rsidR="00FA516C" w:rsidRPr="00055AF4" w:rsidTr="00FF1EF8">
        <w:tc>
          <w:tcPr>
            <w:tcW w:w="415" w:type="dxa"/>
            <w:vMerge w:val="restart"/>
            <w:tcBorders>
              <w:top w:val="single" w:sz="8" w:space="0" w:color="auto"/>
            </w:tcBorders>
            <w:textDirection w:val="btLr"/>
          </w:tcPr>
          <w:p w:rsidR="00FA516C" w:rsidRPr="00055AF4" w:rsidRDefault="00FA516C" w:rsidP="00FF1EF8">
            <w:pPr>
              <w:pStyle w:val="ListParagraph1"/>
              <w:spacing w:after="0" w:line="240" w:lineRule="auto"/>
              <w:ind w:left="113" w:right="113"/>
              <w:jc w:val="center"/>
              <w:rPr>
                <w:rFonts w:ascii="Cambria" w:hAnsi="Cambria" w:cs="Arial"/>
                <w:b/>
                <w:sz w:val="24"/>
                <w:szCs w:val="24"/>
              </w:rPr>
            </w:pPr>
            <w:r>
              <w:rPr>
                <w:rFonts w:ascii="Cambria" w:hAnsi="Cambria"/>
                <w:sz w:val="16"/>
                <w:szCs w:val="16"/>
              </w:rPr>
              <w:t>Domeniul  V</w:t>
            </w:r>
            <w:r w:rsidRPr="00476F3C">
              <w:rPr>
                <w:rFonts w:ascii="Cambria" w:hAnsi="Cambria"/>
                <w:sz w:val="16"/>
                <w:szCs w:val="16"/>
              </w:rPr>
              <w:t>.</w:t>
            </w:r>
          </w:p>
        </w:tc>
        <w:tc>
          <w:tcPr>
            <w:tcW w:w="1253" w:type="dxa"/>
            <w:vMerge w:val="restart"/>
            <w:tcBorders>
              <w:top w:val="single" w:sz="8" w:space="0" w:color="auto"/>
            </w:tcBorders>
          </w:tcPr>
          <w:p w:rsidR="00FA516C" w:rsidRPr="00055AF4" w:rsidRDefault="00FA516C" w:rsidP="00FF1EF8">
            <w:pPr>
              <w:pStyle w:val="ListParagraph1"/>
              <w:spacing w:after="0" w:line="240" w:lineRule="auto"/>
              <w:ind w:left="0"/>
              <w:jc w:val="both"/>
              <w:rPr>
                <w:rFonts w:ascii="Cambria" w:hAnsi="Cambria" w:cs="Arial"/>
                <w:b/>
                <w:sz w:val="24"/>
                <w:szCs w:val="24"/>
              </w:rPr>
            </w:pPr>
            <w:r w:rsidRPr="005F4EA1">
              <w:rPr>
                <w:rFonts w:ascii="Cambria" w:hAnsi="Cambria" w:cs="Arial"/>
                <w:b/>
                <w:sz w:val="16"/>
                <w:szCs w:val="16"/>
              </w:rPr>
              <w:t xml:space="preserve">Legislaţia muncii, </w:t>
            </w:r>
            <w:r w:rsidRPr="005F4EA1">
              <w:rPr>
                <w:rFonts w:ascii="Cambria" w:hAnsi="Cambria" w:cs="Arial"/>
                <w:b/>
                <w:sz w:val="16"/>
                <w:szCs w:val="16"/>
              </w:rPr>
              <w:lastRenderedPageBreak/>
              <w:t>asigurarea socială şi ocrotirea sănătăţii</w:t>
            </w:r>
          </w:p>
        </w:tc>
        <w:tc>
          <w:tcPr>
            <w:tcW w:w="6520" w:type="dxa"/>
            <w:tcBorders>
              <w:top w:val="single" w:sz="8" w:space="0" w:color="auto"/>
            </w:tcBorders>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lastRenderedPageBreak/>
              <w:t>Numărul de prevederi discriminatorii, identificate în proiectele de legi expertizate  (77 proiecte)</w:t>
            </w:r>
          </w:p>
        </w:tc>
        <w:tc>
          <w:tcPr>
            <w:tcW w:w="1011" w:type="dxa"/>
            <w:tcBorders>
              <w:top w:val="single" w:sz="8" w:space="0" w:color="auto"/>
            </w:tcBorders>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14</w:t>
            </w:r>
          </w:p>
        </w:tc>
      </w:tr>
      <w:tr w:rsidR="00FA516C" w:rsidRPr="00A11856"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prevederi discriminatorii, identificate în legile adoptate/retrase (23 legi)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4</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Numărul de obiecţii acceptate în legile adoptate/retrase (eficienţa expertizei)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1</w:t>
            </w:r>
          </w:p>
        </w:tc>
      </w:tr>
      <w:tr w:rsidR="00FA516C" w:rsidRPr="00055AF4" w:rsidTr="00FF1EF8">
        <w:tc>
          <w:tcPr>
            <w:tcW w:w="415"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1253" w:type="dxa"/>
            <w:vMerge/>
          </w:tcPr>
          <w:p w:rsidR="00FA516C" w:rsidRPr="00055AF4" w:rsidRDefault="00FA516C" w:rsidP="00FF1EF8">
            <w:pPr>
              <w:pStyle w:val="ListParagraph1"/>
              <w:spacing w:after="0" w:line="240" w:lineRule="auto"/>
              <w:ind w:left="0"/>
              <w:jc w:val="both"/>
              <w:rPr>
                <w:rFonts w:ascii="Cambria" w:hAnsi="Cambria" w:cs="Arial"/>
                <w:b/>
                <w:sz w:val="24"/>
                <w:szCs w:val="24"/>
              </w:rPr>
            </w:pPr>
          </w:p>
        </w:tc>
        <w:tc>
          <w:tcPr>
            <w:tcW w:w="6520" w:type="dxa"/>
          </w:tcPr>
          <w:p w:rsidR="00FA516C" w:rsidRPr="007906F4" w:rsidRDefault="00FA516C" w:rsidP="00FF1EF8">
            <w:pPr>
              <w:pStyle w:val="ListParagraph1"/>
              <w:spacing w:after="0" w:line="240" w:lineRule="auto"/>
              <w:ind w:left="0"/>
              <w:jc w:val="both"/>
              <w:rPr>
                <w:rFonts w:ascii="Cambria" w:hAnsi="Cambria" w:cs="Arial"/>
                <w:sz w:val="16"/>
                <w:szCs w:val="16"/>
              </w:rPr>
            </w:pPr>
            <w:r w:rsidRPr="007906F4">
              <w:rPr>
                <w:rFonts w:ascii="Cambria" w:hAnsi="Cambria" w:cs="Arial"/>
                <w:sz w:val="16"/>
                <w:szCs w:val="16"/>
              </w:rPr>
              <w:t>% eficienţei</w:t>
            </w:r>
          </w:p>
        </w:tc>
        <w:tc>
          <w:tcPr>
            <w:tcW w:w="1011" w:type="dxa"/>
          </w:tcPr>
          <w:p w:rsidR="00FA516C" w:rsidRPr="001A46DF" w:rsidRDefault="00FA516C" w:rsidP="00FF1EF8">
            <w:pPr>
              <w:pStyle w:val="ListParagraph1"/>
              <w:spacing w:after="0" w:line="240" w:lineRule="auto"/>
              <w:ind w:left="0"/>
              <w:jc w:val="center"/>
              <w:rPr>
                <w:rFonts w:ascii="Cambria" w:hAnsi="Cambria" w:cs="Arial"/>
                <w:sz w:val="24"/>
                <w:szCs w:val="24"/>
              </w:rPr>
            </w:pPr>
            <w:r>
              <w:rPr>
                <w:rFonts w:ascii="Cambria" w:hAnsi="Cambria" w:cs="Arial"/>
                <w:sz w:val="24"/>
                <w:szCs w:val="24"/>
              </w:rPr>
              <w:t>25%</w:t>
            </w:r>
          </w:p>
        </w:tc>
      </w:tr>
    </w:tbl>
    <w:p w:rsidR="00FA516C" w:rsidRPr="00ED1D3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Heading3"/>
        <w:shd w:val="clear" w:color="auto" w:fill="8DB3E2"/>
        <w:jc w:val="both"/>
        <w:rPr>
          <w:rFonts w:ascii="Cambria" w:hAnsi="Cambria"/>
          <w:b w:val="0"/>
          <w:bCs w:val="0"/>
          <w:sz w:val="22"/>
          <w:szCs w:val="22"/>
          <w:lang w:val="ro-RO"/>
        </w:rPr>
      </w:pPr>
      <w:bookmarkStart w:id="40" w:name="_Toc409790475"/>
      <w:bookmarkStart w:id="41" w:name="_Toc409790645"/>
      <w:r w:rsidRPr="002A2E8C">
        <w:rPr>
          <w:rFonts w:ascii="Cambria" w:hAnsi="Cambria" w:cs="Arial"/>
          <w:i/>
          <w:sz w:val="24"/>
          <w:szCs w:val="24"/>
          <w:lang w:val="ro-RO"/>
        </w:rPr>
        <w:t>Exemplu:</w:t>
      </w:r>
      <w:r w:rsidRPr="00C351F1">
        <w:rPr>
          <w:rFonts w:ascii="Cambria" w:hAnsi="Cambria" w:cs="Arial"/>
          <w:sz w:val="24"/>
          <w:szCs w:val="24"/>
          <w:lang w:val="ro-RO"/>
        </w:rPr>
        <w:t xml:space="preserve"> </w:t>
      </w:r>
      <w:r w:rsidRPr="00AC2EA1">
        <w:rPr>
          <w:rFonts w:ascii="Cambria" w:hAnsi="Cambria"/>
          <w:b w:val="0"/>
          <w:bCs w:val="0"/>
          <w:sz w:val="22"/>
          <w:szCs w:val="22"/>
          <w:lang w:val="ro-RO"/>
        </w:rPr>
        <w:t>Proiectul Legii cu privire la organizarea și funcționarea Serviciului național unic pentru apelurile de urgență 112</w:t>
      </w:r>
      <w:bookmarkEnd w:id="40"/>
      <w:bookmarkEnd w:id="41"/>
    </w:p>
    <w:p w:rsidR="00FA516C" w:rsidRDefault="00FA516C" w:rsidP="00FA516C">
      <w:pPr>
        <w:pStyle w:val="ListParagraph1"/>
        <w:spacing w:after="0" w:line="240" w:lineRule="auto"/>
        <w:ind w:left="0"/>
        <w:jc w:val="both"/>
        <w:rPr>
          <w:rFonts w:ascii="Cambria" w:hAnsi="Cambria"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FA516C" w:rsidRPr="007139C9" w:rsidTr="00FF1EF8">
        <w:tc>
          <w:tcPr>
            <w:tcW w:w="9571" w:type="dxa"/>
            <w:tcBorders>
              <w:left w:val="single" w:sz="4" w:space="0" w:color="F2F2F2"/>
              <w:right w:val="single" w:sz="4" w:space="0" w:color="F2F2F2"/>
            </w:tcBorders>
          </w:tcPr>
          <w:p w:rsidR="00FA516C" w:rsidRPr="00750E0F" w:rsidRDefault="00FA516C" w:rsidP="00FF1EF8">
            <w:pPr>
              <w:pStyle w:val="NoSpacing"/>
              <w:rPr>
                <w:rFonts w:ascii="Cambria" w:hAnsi="Cambria"/>
                <w:sz w:val="20"/>
                <w:szCs w:val="20"/>
                <w:lang w:val="ro-RO"/>
              </w:rPr>
            </w:pPr>
          </w:p>
          <w:p w:rsidR="00FA516C" w:rsidRDefault="00FA516C" w:rsidP="00FF1EF8">
            <w:pPr>
              <w:pStyle w:val="NoSpacing"/>
              <w:rPr>
                <w:rFonts w:ascii="Cambria" w:hAnsi="Cambria"/>
                <w:b/>
                <w:i/>
                <w:sz w:val="20"/>
                <w:szCs w:val="20"/>
                <w:lang w:val="ro-RO"/>
              </w:rPr>
            </w:pPr>
            <w:r w:rsidRPr="00750E0F">
              <w:rPr>
                <w:rFonts w:ascii="Cambria" w:hAnsi="Cambria"/>
                <w:b/>
                <w:i/>
                <w:sz w:val="20"/>
                <w:szCs w:val="20"/>
                <w:lang w:val="ro-RO"/>
              </w:rPr>
              <w:t xml:space="preserve">Textul proiectului:  </w:t>
            </w:r>
          </w:p>
          <w:p w:rsidR="00FA516C" w:rsidRPr="00750E0F" w:rsidRDefault="00FA516C" w:rsidP="00FF1EF8">
            <w:pPr>
              <w:pStyle w:val="NoSpacing"/>
              <w:rPr>
                <w:rFonts w:ascii="Cambria" w:hAnsi="Cambria"/>
                <w:b/>
                <w:i/>
                <w:sz w:val="20"/>
                <w:szCs w:val="20"/>
                <w:lang w:val="ro-RO"/>
              </w:rPr>
            </w:pPr>
          </w:p>
          <w:p w:rsidR="00FA516C" w:rsidRPr="00750E0F" w:rsidRDefault="00FA516C" w:rsidP="00FF1EF8">
            <w:pPr>
              <w:pStyle w:val="NoSpacing"/>
              <w:ind w:left="1134"/>
              <w:rPr>
                <w:rFonts w:ascii="Cambria" w:eastAsia="Times New Roman" w:hAnsi="Cambria"/>
                <w:sz w:val="20"/>
                <w:szCs w:val="20"/>
                <w:lang w:val="ro-RO" w:eastAsia="ru-RU"/>
              </w:rPr>
            </w:pPr>
            <w:r w:rsidRPr="00750E0F">
              <w:rPr>
                <w:rFonts w:ascii="Cambria" w:eastAsia="Times New Roman" w:hAnsi="Cambria"/>
                <w:bCs/>
                <w:sz w:val="20"/>
                <w:szCs w:val="20"/>
                <w:lang w:val="ro-RO" w:eastAsia="ru-RU"/>
              </w:rPr>
              <w:t>Articolul 3.</w:t>
            </w:r>
            <w:r w:rsidRPr="00750E0F">
              <w:rPr>
                <w:rFonts w:ascii="Cambria" w:eastAsia="Times New Roman" w:hAnsi="Cambria"/>
                <w:sz w:val="20"/>
                <w:szCs w:val="20"/>
                <w:lang w:val="ro-RO" w:eastAsia="ru-RU"/>
              </w:rPr>
              <w:t xml:space="preserve"> Principiile fundamentale ale organizării şi funcţionării Serviciului 112 </w:t>
            </w:r>
          </w:p>
          <w:p w:rsidR="00FA516C" w:rsidRPr="00750E0F" w:rsidRDefault="00FA516C" w:rsidP="00FF1EF8">
            <w:pPr>
              <w:pStyle w:val="NoSpacing"/>
              <w:ind w:left="1134"/>
              <w:rPr>
                <w:rFonts w:ascii="Cambria" w:eastAsia="Times New Roman" w:hAnsi="Cambria"/>
                <w:sz w:val="20"/>
                <w:szCs w:val="20"/>
                <w:lang w:val="ro-RO" w:eastAsia="ru-RU"/>
              </w:rPr>
            </w:pPr>
            <w:r w:rsidRPr="00750E0F">
              <w:rPr>
                <w:rFonts w:ascii="Cambria" w:eastAsia="Times New Roman" w:hAnsi="Cambria"/>
                <w:sz w:val="20"/>
                <w:szCs w:val="20"/>
                <w:lang w:val="ro-RO" w:eastAsia="ru-RU"/>
              </w:rPr>
              <w:t xml:space="preserve"> ...  (7) Serviciul 112 se va organiza astfel încît să permită tuturor persoanelor aflate pe teritoriul Republicii Moldova, </w:t>
            </w:r>
            <w:r w:rsidRPr="00750E0F">
              <w:rPr>
                <w:rFonts w:ascii="Cambria" w:eastAsia="Times New Roman" w:hAnsi="Cambria"/>
                <w:bCs/>
                <w:iCs/>
                <w:sz w:val="20"/>
                <w:szCs w:val="20"/>
                <w:lang w:val="ro-RO" w:eastAsia="ru-RU"/>
              </w:rPr>
              <w:t>inclusiv persoanelor cu dizabilităţi</w:t>
            </w:r>
            <w:r w:rsidRPr="00750E0F">
              <w:rPr>
                <w:rFonts w:ascii="Cambria" w:eastAsia="Times New Roman" w:hAnsi="Cambria"/>
                <w:sz w:val="20"/>
                <w:szCs w:val="20"/>
                <w:lang w:val="ro-RO" w:eastAsia="ru-RU"/>
              </w:rPr>
              <w:t xml:space="preserve"> şi </w:t>
            </w:r>
            <w:r w:rsidRPr="00750E0F">
              <w:rPr>
                <w:rFonts w:ascii="Cambria" w:eastAsia="Times New Roman" w:hAnsi="Cambria"/>
                <w:bCs/>
                <w:iCs/>
                <w:sz w:val="20"/>
                <w:szCs w:val="20"/>
                <w:lang w:val="ro-RO" w:eastAsia="ru-RU"/>
              </w:rPr>
              <w:t>vorbitori de alte limbi</w:t>
            </w:r>
            <w:r w:rsidRPr="00750E0F">
              <w:rPr>
                <w:rFonts w:ascii="Cambria" w:eastAsia="Times New Roman" w:hAnsi="Cambria"/>
                <w:sz w:val="20"/>
                <w:szCs w:val="20"/>
                <w:lang w:val="ro-RO" w:eastAsia="ru-RU"/>
              </w:rPr>
              <w:t>, accesul la numărul 112 (</w:t>
            </w:r>
            <w:r w:rsidRPr="00750E0F">
              <w:rPr>
                <w:rFonts w:ascii="Cambria" w:eastAsia="Times New Roman" w:hAnsi="Cambria"/>
                <w:bCs/>
                <w:iCs/>
                <w:sz w:val="20"/>
                <w:szCs w:val="20"/>
                <w:lang w:val="ro-RO" w:eastAsia="ru-RU"/>
              </w:rPr>
              <w:t>conform normativelor aprobate prin hotărîre de Guvern</w:t>
            </w:r>
            <w:r w:rsidRPr="00750E0F">
              <w:rPr>
                <w:rFonts w:ascii="Cambria" w:eastAsia="Times New Roman" w:hAnsi="Cambria"/>
                <w:sz w:val="20"/>
                <w:szCs w:val="20"/>
                <w:lang w:val="ro-RO" w:eastAsia="ru-RU"/>
              </w:rPr>
              <w:t xml:space="preserve">, la propunerea Comitetului coordonator interdepartamental pentru asigurarea interacţiunii dintre Serviciul 112 şi serviciile specializate de urgenţă, şi </w:t>
            </w:r>
            <w:r w:rsidRPr="00750E0F">
              <w:rPr>
                <w:rFonts w:ascii="Cambria" w:eastAsia="Times New Roman" w:hAnsi="Cambria"/>
                <w:bCs/>
                <w:iCs/>
                <w:sz w:val="20"/>
                <w:szCs w:val="20"/>
                <w:lang w:val="ro-RO" w:eastAsia="ru-RU"/>
              </w:rPr>
              <w:t>în limita capacităţilor Serviciului 112</w:t>
            </w:r>
            <w:r w:rsidRPr="00750E0F">
              <w:rPr>
                <w:rFonts w:ascii="Cambria" w:eastAsia="Times New Roman" w:hAnsi="Cambria"/>
                <w:sz w:val="20"/>
                <w:szCs w:val="20"/>
                <w:lang w:val="ro-RO" w:eastAsia="ru-RU"/>
              </w:rPr>
              <w:t xml:space="preserve">, </w:t>
            </w:r>
            <w:r w:rsidRPr="00750E0F">
              <w:rPr>
                <w:rFonts w:ascii="Cambria" w:eastAsia="Times New Roman" w:hAnsi="Cambria"/>
                <w:iCs/>
                <w:sz w:val="20"/>
                <w:szCs w:val="20"/>
                <w:lang w:val="ro-RO" w:eastAsia="ru-RU"/>
              </w:rPr>
              <w:t>dar nu mai puţin decît cele stabilite de legislaţia în vigoare</w:t>
            </w:r>
            <w:r w:rsidRPr="00750E0F">
              <w:rPr>
                <w:rFonts w:ascii="Cambria" w:eastAsia="Times New Roman" w:hAnsi="Cambria"/>
                <w:sz w:val="20"/>
                <w:szCs w:val="20"/>
                <w:lang w:val="ro-RO" w:eastAsia="ru-RU"/>
              </w:rPr>
              <w:t>).</w:t>
            </w:r>
          </w:p>
          <w:p w:rsidR="00FA516C" w:rsidRDefault="00FA516C" w:rsidP="00FF1EF8">
            <w:pPr>
              <w:pStyle w:val="NoSpacing"/>
              <w:ind w:left="1134"/>
              <w:rPr>
                <w:rFonts w:ascii="Cambria" w:eastAsia="Times New Roman" w:hAnsi="Cambria"/>
                <w:bCs/>
                <w:sz w:val="20"/>
                <w:szCs w:val="20"/>
                <w:lang w:val="ro-RO" w:eastAsia="ru-RU"/>
              </w:rPr>
            </w:pPr>
          </w:p>
          <w:p w:rsidR="00FA516C" w:rsidRPr="00750E0F" w:rsidRDefault="00FA516C" w:rsidP="00FF1EF8">
            <w:pPr>
              <w:pStyle w:val="NoSpacing"/>
              <w:ind w:left="1134"/>
              <w:rPr>
                <w:rFonts w:ascii="Cambria" w:eastAsia="Times New Roman" w:hAnsi="Cambria"/>
                <w:sz w:val="20"/>
                <w:szCs w:val="20"/>
                <w:lang w:val="ro-RO" w:eastAsia="ru-RU"/>
              </w:rPr>
            </w:pPr>
            <w:r w:rsidRPr="00750E0F">
              <w:rPr>
                <w:rFonts w:ascii="Cambria" w:eastAsia="Times New Roman" w:hAnsi="Cambria"/>
                <w:bCs/>
                <w:sz w:val="20"/>
                <w:szCs w:val="20"/>
                <w:lang w:val="ro-RO" w:eastAsia="ru-RU"/>
              </w:rPr>
              <w:t>Articolul 6.</w:t>
            </w:r>
            <w:r w:rsidRPr="00750E0F">
              <w:rPr>
                <w:rFonts w:ascii="Cambria" w:eastAsia="Times New Roman" w:hAnsi="Cambria"/>
                <w:sz w:val="20"/>
                <w:szCs w:val="20"/>
                <w:lang w:val="ro-RO" w:eastAsia="ru-RU"/>
              </w:rPr>
              <w:t xml:space="preserve"> Atribuţiile Serviciului 112</w:t>
            </w:r>
          </w:p>
          <w:p w:rsidR="00FA516C" w:rsidRPr="00750E0F" w:rsidRDefault="00FA516C" w:rsidP="00FF1EF8">
            <w:pPr>
              <w:pStyle w:val="NoSpacing"/>
              <w:ind w:left="1134"/>
              <w:rPr>
                <w:rFonts w:ascii="Cambria" w:eastAsia="Times New Roman" w:hAnsi="Cambria"/>
                <w:sz w:val="20"/>
                <w:szCs w:val="20"/>
                <w:lang w:val="ro-RO" w:eastAsia="ru-RU"/>
              </w:rPr>
            </w:pPr>
            <w:r w:rsidRPr="00750E0F">
              <w:rPr>
                <w:rFonts w:ascii="Cambria" w:eastAsia="Times New Roman" w:hAnsi="Cambria"/>
                <w:sz w:val="20"/>
                <w:szCs w:val="20"/>
                <w:lang w:val="ro-RO" w:eastAsia="ru-RU"/>
              </w:rPr>
              <w:t xml:space="preserve">Serviciul 112 are următoarele atribuţii: ... d) recepţionarea apelurilor de urgenţă </w:t>
            </w:r>
            <w:r w:rsidRPr="00750E0F">
              <w:rPr>
                <w:rFonts w:ascii="Cambria" w:eastAsia="Times New Roman" w:hAnsi="Cambria"/>
                <w:bCs/>
                <w:iCs/>
                <w:sz w:val="20"/>
                <w:szCs w:val="20"/>
                <w:lang w:val="ro-RO" w:eastAsia="ru-RU"/>
              </w:rPr>
              <w:t>în limbile vorbite pe teritoriul Republicii Moldova</w:t>
            </w:r>
            <w:r w:rsidRPr="00750E0F">
              <w:rPr>
                <w:rFonts w:ascii="Cambria" w:eastAsia="Times New Roman" w:hAnsi="Cambria"/>
                <w:sz w:val="20"/>
                <w:szCs w:val="20"/>
                <w:lang w:val="ro-RO" w:eastAsia="ru-RU"/>
              </w:rPr>
              <w:t xml:space="preserve">, </w:t>
            </w:r>
            <w:r w:rsidRPr="00750E0F">
              <w:rPr>
                <w:rFonts w:ascii="Cambria" w:eastAsia="Times New Roman" w:hAnsi="Cambria"/>
                <w:bCs/>
                <w:iCs/>
                <w:sz w:val="20"/>
                <w:szCs w:val="20"/>
                <w:lang w:val="ro-RO" w:eastAsia="ru-RU"/>
              </w:rPr>
              <w:t>precum şi de circulaţie internaţională</w:t>
            </w:r>
            <w:r w:rsidRPr="00750E0F">
              <w:rPr>
                <w:rFonts w:ascii="Cambria" w:eastAsia="Times New Roman" w:hAnsi="Cambria"/>
                <w:sz w:val="20"/>
                <w:szCs w:val="20"/>
                <w:lang w:val="ro-RO" w:eastAsia="ru-RU"/>
              </w:rPr>
              <w:t xml:space="preserve">, </w:t>
            </w:r>
            <w:r w:rsidRPr="00750E0F">
              <w:rPr>
                <w:rFonts w:ascii="Cambria" w:eastAsia="Times New Roman" w:hAnsi="Cambria"/>
                <w:bCs/>
                <w:iCs/>
                <w:sz w:val="20"/>
                <w:szCs w:val="20"/>
                <w:lang w:val="ro-RO" w:eastAsia="ru-RU"/>
              </w:rPr>
              <w:t>conform nomenclatorului aprobat prin hotărîre de Guvern</w:t>
            </w:r>
            <w:r w:rsidRPr="00750E0F">
              <w:rPr>
                <w:rFonts w:ascii="Cambria" w:eastAsia="Times New Roman" w:hAnsi="Cambria"/>
                <w:sz w:val="20"/>
                <w:szCs w:val="20"/>
                <w:lang w:val="ro-RO" w:eastAsia="ru-RU"/>
              </w:rPr>
              <w:t xml:space="preserve">, la propunerea Comitetului coordonator interdepartamental pentru asigurarea interacţiunii dintre Serviciul 112 şi serviciile specializate de urgenţă, şi </w:t>
            </w:r>
            <w:r w:rsidRPr="00750E0F">
              <w:rPr>
                <w:rFonts w:ascii="Cambria" w:eastAsia="Times New Roman" w:hAnsi="Cambria"/>
                <w:bCs/>
                <w:iCs/>
                <w:sz w:val="20"/>
                <w:szCs w:val="20"/>
                <w:lang w:val="ro-RO" w:eastAsia="ru-RU"/>
              </w:rPr>
              <w:t>în limita capacităţilor Serviciului 112</w:t>
            </w:r>
            <w:r w:rsidRPr="00750E0F">
              <w:rPr>
                <w:rFonts w:ascii="Cambria" w:eastAsia="Times New Roman" w:hAnsi="Cambria"/>
                <w:sz w:val="20"/>
                <w:szCs w:val="20"/>
                <w:lang w:val="ro-RO" w:eastAsia="ru-RU"/>
              </w:rPr>
              <w:t xml:space="preserve">, </w:t>
            </w:r>
            <w:r w:rsidRPr="00750E0F">
              <w:rPr>
                <w:rFonts w:ascii="Cambria" w:eastAsia="Times New Roman" w:hAnsi="Cambria"/>
                <w:iCs/>
                <w:sz w:val="20"/>
                <w:szCs w:val="20"/>
                <w:lang w:val="ro-RO" w:eastAsia="ru-RU"/>
              </w:rPr>
              <w:t>dar nu mai puţin decît cele stabilite de legislaţia în vigoare</w:t>
            </w:r>
            <w:r w:rsidRPr="00750E0F">
              <w:rPr>
                <w:rFonts w:ascii="Cambria" w:eastAsia="Times New Roman" w:hAnsi="Cambria"/>
                <w:sz w:val="20"/>
                <w:szCs w:val="20"/>
                <w:lang w:val="ro-RO" w:eastAsia="ru-RU"/>
              </w:rPr>
              <w:t>).</w:t>
            </w:r>
          </w:p>
          <w:p w:rsidR="00FA516C" w:rsidRPr="00750E0F" w:rsidRDefault="00FA516C" w:rsidP="00FF1EF8">
            <w:pPr>
              <w:pStyle w:val="NoSpacing"/>
              <w:rPr>
                <w:rFonts w:ascii="Cambria" w:eastAsia="Times New Roman" w:hAnsi="Cambria"/>
                <w:sz w:val="20"/>
                <w:szCs w:val="20"/>
                <w:lang w:val="ro-RO" w:eastAsia="ru-RU"/>
              </w:rPr>
            </w:pPr>
          </w:p>
        </w:tc>
      </w:tr>
      <w:tr w:rsidR="00FA516C" w:rsidRPr="004432AA" w:rsidTr="00FF1EF8">
        <w:tc>
          <w:tcPr>
            <w:tcW w:w="9571" w:type="dxa"/>
            <w:tcBorders>
              <w:left w:val="single" w:sz="4" w:space="0" w:color="F2F2F2"/>
              <w:right w:val="single" w:sz="4" w:space="0" w:color="F2F2F2"/>
            </w:tcBorders>
          </w:tcPr>
          <w:p w:rsidR="00FA516C" w:rsidRPr="00750E0F" w:rsidRDefault="00FA516C" w:rsidP="00FF1EF8">
            <w:pPr>
              <w:pStyle w:val="NoSpacing"/>
              <w:rPr>
                <w:rFonts w:ascii="Cambria" w:hAnsi="Cambria" w:cs="Arial"/>
                <w:sz w:val="20"/>
                <w:szCs w:val="20"/>
                <w:lang w:val="ro-RO"/>
              </w:rPr>
            </w:pPr>
          </w:p>
          <w:p w:rsidR="00FA516C" w:rsidRPr="00750E0F" w:rsidRDefault="00FA516C" w:rsidP="00FF1EF8">
            <w:pPr>
              <w:pStyle w:val="NoSpacing"/>
              <w:rPr>
                <w:rFonts w:ascii="Cambria" w:hAnsi="Cambria" w:cs="Arial"/>
                <w:sz w:val="20"/>
                <w:szCs w:val="20"/>
                <w:lang w:val="ro-RO"/>
              </w:rPr>
            </w:pPr>
            <w:r w:rsidRPr="00750E0F">
              <w:rPr>
                <w:rFonts w:ascii="Cambria" w:hAnsi="Cambria" w:cs="Arial"/>
                <w:b/>
                <w:i/>
                <w:sz w:val="20"/>
                <w:szCs w:val="20"/>
                <w:lang w:val="ro-RO"/>
              </w:rPr>
              <w:t>Elementul de vulnerabilitate identificat şi recomandarea expertului:</w:t>
            </w:r>
            <w:r w:rsidRPr="00750E0F">
              <w:rPr>
                <w:rFonts w:ascii="Cambria" w:hAnsi="Cambria" w:cs="Arial"/>
                <w:sz w:val="20"/>
                <w:szCs w:val="20"/>
                <w:lang w:val="ro-RO"/>
              </w:rPr>
              <w:t xml:space="preserve">  </w:t>
            </w:r>
            <w:r w:rsidRPr="00750E0F">
              <w:rPr>
                <w:rFonts w:ascii="Cambria" w:hAnsi="Cambria"/>
                <w:sz w:val="20"/>
                <w:szCs w:val="20"/>
                <w:u w:val="single"/>
                <w:lang w:val="ro-RO" w:eastAsia="ru-RU"/>
              </w:rPr>
              <w:t xml:space="preserve">prevederi discriminatorii; </w:t>
            </w:r>
            <w:r w:rsidRPr="00750E0F">
              <w:rPr>
                <w:rFonts w:ascii="Cambria" w:hAnsi="Cambria"/>
                <w:sz w:val="20"/>
                <w:szCs w:val="20"/>
                <w:lang w:val="ro-RO" w:eastAsia="ru-RU"/>
              </w:rPr>
              <w:t xml:space="preserve">prevederi necorespunzatoare normelor din legislatia corelativa. </w:t>
            </w:r>
          </w:p>
          <w:p w:rsidR="00FA516C" w:rsidRPr="00750E0F" w:rsidRDefault="00FA516C" w:rsidP="00FF1EF8">
            <w:pPr>
              <w:pStyle w:val="NoSpacing"/>
              <w:rPr>
                <w:rFonts w:ascii="Cambria" w:hAnsi="Cambria" w:cs="Arial"/>
                <w:sz w:val="20"/>
                <w:szCs w:val="20"/>
              </w:rPr>
            </w:pPr>
          </w:p>
          <w:p w:rsidR="00FA516C" w:rsidRPr="00750E0F" w:rsidRDefault="00FA516C" w:rsidP="00F71666">
            <w:pPr>
              <w:pStyle w:val="NoSpacing"/>
              <w:jc w:val="both"/>
              <w:rPr>
                <w:rFonts w:ascii="Cambria" w:hAnsi="Cambria"/>
                <w:sz w:val="20"/>
                <w:szCs w:val="20"/>
                <w:lang w:val="en-US" w:eastAsia="ru-RU"/>
              </w:rPr>
            </w:pPr>
            <w:r w:rsidRPr="002E36B8">
              <w:rPr>
                <w:rFonts w:ascii="Cambria" w:hAnsi="Cambria" w:cs="Arial"/>
                <w:b/>
                <w:i/>
                <w:sz w:val="20"/>
                <w:szCs w:val="20"/>
                <w:lang w:val="ro-RO"/>
              </w:rPr>
              <w:t>Obiecţia expertului:</w:t>
            </w:r>
            <w:r w:rsidRPr="002E36B8">
              <w:rPr>
                <w:rFonts w:ascii="Cambria" w:hAnsi="Cambria"/>
                <w:b/>
                <w:i/>
                <w:sz w:val="20"/>
                <w:szCs w:val="20"/>
                <w:lang w:val="ro-RO" w:eastAsia="ru-RU"/>
              </w:rPr>
              <w:t xml:space="preserve"> </w:t>
            </w:r>
            <w:r w:rsidRPr="00750E0F">
              <w:rPr>
                <w:rFonts w:ascii="Cambria" w:hAnsi="Cambria"/>
                <w:sz w:val="20"/>
                <w:szCs w:val="20"/>
                <w:lang w:val="ro-RO" w:eastAsia="ru-RU"/>
              </w:rPr>
              <w:t xml:space="preserve">Potrivit art. 7 din Legea cu privire la funcţionarea limbilor vorbite pe teritoriul RSS Moldoveneşti nr. 3465 din 01.09.89, pentru lucrătorii de conducere, lucrătorii organelor puterii de stat, administraţiei de stat şi organizaţiilor obşteşti, precum şi pentru lucrătorii de la întreprinderi, instituţii şi organizaţii, care în virtutea obligaţiilor de serviciu vin în contact Cadrul legal naţional instituie obligativitatea stabilirii unor cerinţe referitor la cunoaşterea limbilor </w:t>
            </w:r>
            <w:r w:rsidRPr="00750E0F">
              <w:rPr>
                <w:rFonts w:ascii="Cambria" w:hAnsi="Cambria"/>
                <w:iCs/>
                <w:sz w:val="20"/>
                <w:szCs w:val="20"/>
                <w:lang w:val="ro-RO" w:eastAsia="ru-RU"/>
              </w:rPr>
              <w:t>moldovenească, rusă</w:t>
            </w:r>
            <w:r w:rsidRPr="00750E0F">
              <w:rPr>
                <w:rFonts w:ascii="Cambria" w:hAnsi="Cambria"/>
                <w:sz w:val="20"/>
                <w:szCs w:val="20"/>
                <w:lang w:val="ro-RO" w:eastAsia="ru-RU"/>
              </w:rPr>
              <w:t xml:space="preserve">, iar în localităţile cu populaţie de naţionalitate găgăuză - şi a limbii </w:t>
            </w:r>
            <w:r w:rsidRPr="00750E0F">
              <w:rPr>
                <w:rFonts w:ascii="Cambria" w:hAnsi="Cambria"/>
                <w:iCs/>
                <w:sz w:val="20"/>
                <w:szCs w:val="20"/>
                <w:lang w:val="ro-RO" w:eastAsia="ru-RU"/>
              </w:rPr>
              <w:t>găgăuze</w:t>
            </w:r>
            <w:r w:rsidRPr="00750E0F">
              <w:rPr>
                <w:rFonts w:ascii="Cambria" w:hAnsi="Cambria"/>
                <w:sz w:val="20"/>
                <w:szCs w:val="20"/>
                <w:lang w:val="ro-RO" w:eastAsia="ru-RU"/>
              </w:rPr>
              <w:t xml:space="preserve"> la nivelul comunicării necesar pentru îndeplinirea obligaţiilor profesionale. </w:t>
            </w:r>
            <w:r w:rsidRPr="00750E0F">
              <w:rPr>
                <w:rFonts w:ascii="Cambria" w:hAnsi="Cambria"/>
                <w:sz w:val="20"/>
                <w:szCs w:val="20"/>
                <w:lang w:val="fr-FR" w:eastAsia="ru-RU"/>
              </w:rPr>
              <w:t>Accesul "vorbitorilor de alte limbi" la numărul 112, în varianta formulată în proiect, va presupune obligaţia operatorilor serviciului 112 de a răspunde şi în alte limbi (de ex. chineză, arabă, etc.) decît cele prevăzute de Legea nr. 3465 din 01.09.89. În acest sens, în viziunea noastră, amendamentul este formulat de o manieră ambiguă care, la aplicare, ar putea admite interpretări abuzive, acesta avînd un sens neclar/echivoc şi astfel ar putea permite interpretări abuzive. Acesta ar putea deveni vulnerabil în măsura în care acordă posibilităţi de aplicare a normei în interpretarea preferată, în dependenţă de interesul responsabililor de implementare şi control al aplicării. Totodată, nu este clară scoaterea în evidenţă a "</w:t>
            </w:r>
            <w:r w:rsidRPr="00750E0F">
              <w:rPr>
                <w:rFonts w:ascii="Cambria" w:hAnsi="Cambria"/>
                <w:bCs/>
                <w:iCs/>
                <w:sz w:val="20"/>
                <w:szCs w:val="20"/>
                <w:lang w:val="fr-FR" w:eastAsia="ru-RU"/>
              </w:rPr>
              <w:t>persoanelor cu dizabilităţi</w:t>
            </w:r>
            <w:r w:rsidRPr="00750E0F">
              <w:rPr>
                <w:rFonts w:ascii="Cambria" w:hAnsi="Cambria"/>
                <w:sz w:val="20"/>
                <w:szCs w:val="20"/>
                <w:lang w:val="fr-FR" w:eastAsia="ru-RU"/>
              </w:rPr>
              <w:t>",</w:t>
            </w:r>
            <w:r w:rsidRPr="00750E0F">
              <w:rPr>
                <w:rFonts w:ascii="Cambria" w:hAnsi="Cambria"/>
                <w:bCs/>
                <w:iCs/>
                <w:sz w:val="20"/>
                <w:szCs w:val="20"/>
                <w:lang w:val="fr-FR" w:eastAsia="ru-RU"/>
              </w:rPr>
              <w:t xml:space="preserve"> </w:t>
            </w:r>
            <w:r w:rsidRPr="00750E0F">
              <w:rPr>
                <w:rFonts w:ascii="Cambria" w:hAnsi="Cambria"/>
                <w:sz w:val="20"/>
                <w:szCs w:val="20"/>
                <w:lang w:val="fr-FR" w:eastAsia="ru-RU"/>
              </w:rPr>
              <w:t>acestea fiind oricum protejate de Legea cu privire la asigurarea egalităţii nr. 121 din 25.05.2012 scopul căreia este prevenirea şi combaterea discriminării, precum şi asigurarea egalităţii tuturor persoanelor aflate pe teritoriul Republicii Moldova în sferele politică, economică, socială, culturală şi alte sfere ale vieţii, fără deosebire de rasă, culoare, naţionalitate, origine etnică, limbă, religie sau convingeri, sex, vîrstă, dizabilitate, opinie, apartenenţă politică sau orice alt criteriu similar. În acelaşi timp, autorul utilizează termeni diferiţi prin recurgerea la sinonime pentru a defini acelaşi fenomen "</w:t>
            </w:r>
            <w:r w:rsidRPr="00750E0F">
              <w:rPr>
                <w:rFonts w:ascii="Cambria" w:hAnsi="Cambria"/>
                <w:bCs/>
                <w:iCs/>
                <w:sz w:val="20"/>
                <w:szCs w:val="20"/>
                <w:lang w:val="fr-FR" w:eastAsia="ru-RU"/>
              </w:rPr>
              <w:t>conform normativelor aprobate prin hotărîre de Guvern</w:t>
            </w:r>
            <w:r w:rsidRPr="00750E0F">
              <w:rPr>
                <w:rFonts w:ascii="Cambria" w:hAnsi="Cambria"/>
                <w:sz w:val="20"/>
                <w:szCs w:val="20"/>
                <w:lang w:val="fr-FR" w:eastAsia="ru-RU"/>
              </w:rPr>
              <w:t>"</w:t>
            </w:r>
            <w:r w:rsidRPr="00750E0F">
              <w:rPr>
                <w:rFonts w:ascii="Cambria" w:hAnsi="Cambria"/>
                <w:bCs/>
                <w:iCs/>
                <w:sz w:val="20"/>
                <w:szCs w:val="20"/>
                <w:lang w:val="fr-FR" w:eastAsia="ru-RU"/>
              </w:rPr>
              <w:t xml:space="preserve"> </w:t>
            </w:r>
            <w:r w:rsidRPr="00750E0F">
              <w:rPr>
                <w:rFonts w:ascii="Cambria" w:hAnsi="Cambria"/>
                <w:sz w:val="20"/>
                <w:szCs w:val="20"/>
                <w:lang w:val="fr-FR" w:eastAsia="ru-RU"/>
              </w:rPr>
              <w:t>şi "</w:t>
            </w:r>
            <w:r w:rsidRPr="00750E0F">
              <w:rPr>
                <w:rFonts w:ascii="Cambria" w:hAnsi="Cambria"/>
                <w:bCs/>
                <w:iCs/>
                <w:sz w:val="20"/>
                <w:szCs w:val="20"/>
                <w:lang w:val="fr-FR" w:eastAsia="ru-RU"/>
              </w:rPr>
              <w:t>conform nomenclatorului aprobat prin hotărîre de Guvern</w:t>
            </w:r>
            <w:r w:rsidRPr="00750E0F">
              <w:rPr>
                <w:rFonts w:ascii="Cambria" w:hAnsi="Cambria"/>
                <w:sz w:val="20"/>
                <w:szCs w:val="20"/>
                <w:lang w:val="fr-FR" w:eastAsia="ru-RU"/>
              </w:rPr>
              <w:t xml:space="preserve">". Pericolul acestui element constă în faptul că la aplicare, terminologia utilizată neunifom poate provoca practici vicioase de interpretare a sensului normei, şi anume, tratarea ca fenomene diferite a aceluiaşi fenomen, din cauza numirii diferite a lui sau tratarea ca acelaşi fenomen a fenomenelor distincte din motivul confundării a două noţiuni diferite în textul reglementării. </w:t>
            </w:r>
            <w:r w:rsidRPr="00750E0F">
              <w:rPr>
                <w:rFonts w:ascii="Cambria" w:hAnsi="Cambria"/>
                <w:sz w:val="20"/>
                <w:szCs w:val="20"/>
                <w:lang w:val="en-US" w:eastAsia="ru-RU"/>
              </w:rPr>
              <w:t>În rezultat, pot apărea abuzuri din partea exponenţilor sectoarelor şi public, şi privat. Concomitent, utilizarea sintagmei "</w:t>
            </w:r>
            <w:r w:rsidRPr="00750E0F">
              <w:rPr>
                <w:rFonts w:ascii="Cambria" w:hAnsi="Cambria"/>
                <w:bCs/>
                <w:iCs/>
                <w:sz w:val="20"/>
                <w:szCs w:val="20"/>
                <w:lang w:val="en-US" w:eastAsia="ru-RU"/>
              </w:rPr>
              <w:t>în limita capacităţilor Serviciului 112</w:t>
            </w:r>
            <w:r w:rsidRPr="00750E0F">
              <w:rPr>
                <w:rFonts w:ascii="Cambria" w:hAnsi="Cambria"/>
                <w:sz w:val="20"/>
                <w:szCs w:val="20"/>
                <w:lang w:val="en-US" w:eastAsia="ru-RU"/>
              </w:rPr>
              <w:t>" vine în conflict cu "</w:t>
            </w:r>
            <w:r w:rsidRPr="00750E0F">
              <w:rPr>
                <w:rFonts w:ascii="Cambria" w:hAnsi="Cambria"/>
                <w:bCs/>
                <w:iCs/>
                <w:sz w:val="20"/>
                <w:szCs w:val="20"/>
                <w:lang w:val="en-US" w:eastAsia="ru-RU"/>
              </w:rPr>
              <w:t>în limbile vorbite pe teritoriul Republicii Moldova</w:t>
            </w:r>
            <w:r w:rsidRPr="00750E0F">
              <w:rPr>
                <w:rFonts w:ascii="Cambria" w:hAnsi="Cambria"/>
                <w:sz w:val="20"/>
                <w:szCs w:val="20"/>
                <w:lang w:val="en-US" w:eastAsia="ru-RU"/>
              </w:rPr>
              <w:t xml:space="preserve">, </w:t>
            </w:r>
            <w:r w:rsidRPr="00750E0F">
              <w:rPr>
                <w:rFonts w:ascii="Cambria" w:hAnsi="Cambria"/>
                <w:bCs/>
                <w:iCs/>
                <w:sz w:val="20"/>
                <w:szCs w:val="20"/>
                <w:lang w:val="en-US" w:eastAsia="ru-RU"/>
              </w:rPr>
              <w:t>precum şi de circulaţie internaţională</w:t>
            </w:r>
            <w:r w:rsidRPr="00750E0F">
              <w:rPr>
                <w:rFonts w:ascii="Cambria" w:hAnsi="Cambria"/>
                <w:sz w:val="20"/>
                <w:szCs w:val="20"/>
                <w:lang w:val="en-US" w:eastAsia="ru-RU"/>
              </w:rPr>
              <w:t>", fiind un impediment în aplicarea corectă a prevederilor legislative care va crea premise pentru aplicarea normei "convenabile" într-o situaţie concretă, pentru alegerea subiectivă şi abuzivă a normei aplicabile.</w:t>
            </w:r>
          </w:p>
          <w:p w:rsidR="00FA516C" w:rsidRPr="00FA516C" w:rsidRDefault="00FA516C" w:rsidP="00FF1EF8">
            <w:pPr>
              <w:pStyle w:val="NoSpacing"/>
              <w:rPr>
                <w:rFonts w:ascii="Cambria" w:hAnsi="Cambria" w:cs="Arial"/>
                <w:sz w:val="20"/>
                <w:szCs w:val="20"/>
                <w:lang w:val="en-US"/>
              </w:rPr>
            </w:pPr>
          </w:p>
          <w:p w:rsidR="00FA516C" w:rsidRPr="00750E0F" w:rsidRDefault="00FA516C" w:rsidP="00FF1EF8">
            <w:pPr>
              <w:pStyle w:val="NoSpacing"/>
              <w:rPr>
                <w:rFonts w:ascii="Cambria" w:hAnsi="Cambria" w:cs="Arial"/>
                <w:sz w:val="20"/>
                <w:szCs w:val="20"/>
                <w:lang w:val="en-US"/>
              </w:rPr>
            </w:pPr>
            <w:r w:rsidRPr="002E36B8">
              <w:rPr>
                <w:rFonts w:ascii="Cambria" w:hAnsi="Cambria" w:cs="Arial"/>
                <w:b/>
                <w:i/>
                <w:sz w:val="20"/>
                <w:szCs w:val="20"/>
                <w:lang w:val="fr-FR"/>
              </w:rPr>
              <w:t>Recomandarea:</w:t>
            </w:r>
            <w:r w:rsidRPr="00750E0F">
              <w:rPr>
                <w:rFonts w:ascii="Cambria" w:hAnsi="Cambria"/>
                <w:sz w:val="20"/>
                <w:szCs w:val="20"/>
                <w:lang w:val="fr-FR"/>
              </w:rPr>
              <w:t xml:space="preserve"> </w:t>
            </w:r>
            <w:r w:rsidRPr="00750E0F">
              <w:rPr>
                <w:rFonts w:ascii="Cambria" w:hAnsi="Cambria" w:cs="Arial"/>
                <w:sz w:val="20"/>
                <w:szCs w:val="20"/>
              </w:rPr>
              <w:t>Revizuirea propunerilor legislative în contextul obiecţiilor expuse</w:t>
            </w:r>
          </w:p>
          <w:p w:rsidR="00FA516C" w:rsidRPr="00750E0F" w:rsidRDefault="00FA516C" w:rsidP="00FF1EF8">
            <w:pPr>
              <w:pStyle w:val="NoSpacing"/>
              <w:rPr>
                <w:rFonts w:ascii="Cambria" w:hAnsi="Cambria"/>
                <w:sz w:val="20"/>
                <w:szCs w:val="20"/>
                <w:lang w:val="en-US"/>
              </w:rPr>
            </w:pPr>
          </w:p>
        </w:tc>
      </w:tr>
      <w:tr w:rsidR="00FA516C" w:rsidRPr="007139C9" w:rsidTr="00FF1EF8">
        <w:tc>
          <w:tcPr>
            <w:tcW w:w="9571" w:type="dxa"/>
            <w:tcBorders>
              <w:left w:val="single" w:sz="4" w:space="0" w:color="F2F2F2"/>
              <w:right w:val="single" w:sz="4" w:space="0" w:color="F2F2F2"/>
            </w:tcBorders>
          </w:tcPr>
          <w:p w:rsidR="00FA516C" w:rsidRPr="00750E0F" w:rsidRDefault="00FA516C" w:rsidP="00FF1EF8">
            <w:pPr>
              <w:pStyle w:val="NoSpacing"/>
              <w:rPr>
                <w:rFonts w:ascii="Cambria" w:hAnsi="Cambria"/>
                <w:b/>
                <w:i/>
                <w:sz w:val="20"/>
                <w:szCs w:val="20"/>
                <w:lang w:val="ro-RO"/>
              </w:rPr>
            </w:pPr>
          </w:p>
          <w:p w:rsidR="00FA516C" w:rsidRPr="00750E0F" w:rsidRDefault="00FA516C" w:rsidP="00FF1EF8">
            <w:pPr>
              <w:pStyle w:val="NoSpacing"/>
              <w:rPr>
                <w:rFonts w:ascii="Cambria" w:hAnsi="Cambria"/>
                <w:sz w:val="20"/>
                <w:szCs w:val="20"/>
                <w:lang w:val="ro-RO"/>
              </w:rPr>
            </w:pPr>
            <w:r w:rsidRPr="00750E0F">
              <w:rPr>
                <w:rFonts w:ascii="Cambria" w:hAnsi="Cambria"/>
                <w:b/>
                <w:i/>
                <w:sz w:val="20"/>
                <w:szCs w:val="20"/>
                <w:lang w:val="ro-RO"/>
              </w:rPr>
              <w:t>Textul Legii adoptate:</w:t>
            </w:r>
            <w:r w:rsidRPr="00750E0F">
              <w:rPr>
                <w:rFonts w:ascii="Cambria" w:hAnsi="Cambria"/>
                <w:sz w:val="20"/>
                <w:szCs w:val="20"/>
                <w:lang w:val="ro-RO"/>
              </w:rPr>
              <w:t xml:space="preserve"> </w:t>
            </w:r>
            <w:r w:rsidRPr="00750E0F">
              <w:rPr>
                <w:rFonts w:ascii="Cambria" w:hAnsi="Cambria"/>
                <w:sz w:val="20"/>
                <w:szCs w:val="20"/>
                <w:lang w:val="fr-FR"/>
              </w:rPr>
              <w:t>Proiectul a fost retras la 09.10.2014.</w:t>
            </w:r>
          </w:p>
          <w:p w:rsidR="00FA516C" w:rsidRPr="00750E0F" w:rsidRDefault="00FA516C" w:rsidP="00FF1EF8">
            <w:pPr>
              <w:pStyle w:val="NoSpacing"/>
              <w:rPr>
                <w:rFonts w:ascii="Cambria" w:hAnsi="Cambria"/>
                <w:sz w:val="20"/>
                <w:szCs w:val="20"/>
                <w:lang w:val="ro-RO"/>
              </w:rPr>
            </w:pPr>
          </w:p>
        </w:tc>
      </w:tr>
    </w:tbl>
    <w:p w:rsidR="00FA516C" w:rsidRPr="00517FF6"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pStyle w:val="ListParagraph1"/>
        <w:spacing w:after="0" w:line="240" w:lineRule="auto"/>
        <w:ind w:left="0"/>
        <w:jc w:val="both"/>
        <w:rPr>
          <w:rFonts w:ascii="Cambria" w:hAnsi="Cambria" w:cs="Arial"/>
          <w:b/>
          <w:sz w:val="24"/>
          <w:szCs w:val="24"/>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Default="00FA516C" w:rsidP="00FA516C">
      <w:pPr>
        <w:rPr>
          <w:lang w:val="ro-RO"/>
        </w:rPr>
      </w:pPr>
    </w:p>
    <w:p w:rsidR="00FA516C" w:rsidRPr="00FD6DBB" w:rsidRDefault="00FA516C" w:rsidP="007139C9">
      <w:pPr>
        <w:pStyle w:val="Heading1"/>
        <w:rPr>
          <w:lang w:val="ro-RO"/>
        </w:rPr>
      </w:pPr>
      <w:bookmarkStart w:id="42" w:name="_Toc409790646"/>
      <w:r w:rsidRPr="00FD6DBB">
        <w:rPr>
          <w:lang w:val="ro-RO"/>
        </w:rPr>
        <w:t>CONCLUZII</w:t>
      </w:r>
      <w:bookmarkEnd w:id="42"/>
    </w:p>
    <w:p w:rsidR="00FA516C" w:rsidRDefault="00FA516C" w:rsidP="005F7F0A">
      <w:pPr>
        <w:rPr>
          <w:rFonts w:asciiTheme="majorHAnsi" w:hAnsiTheme="majorHAnsi"/>
          <w:sz w:val="24"/>
          <w:szCs w:val="24"/>
          <w:lang w:val="ro-RO"/>
        </w:rPr>
      </w:pPr>
    </w:p>
    <w:p w:rsidR="00C7528B" w:rsidRDefault="00885EB9" w:rsidP="005F7F0A">
      <w:pPr>
        <w:rPr>
          <w:rFonts w:asciiTheme="majorHAnsi" w:hAnsiTheme="majorHAnsi"/>
          <w:sz w:val="24"/>
          <w:szCs w:val="24"/>
          <w:lang w:val="ro-RO"/>
        </w:rPr>
      </w:pPr>
      <w:r>
        <w:rPr>
          <w:rFonts w:asciiTheme="majorHAnsi" w:hAnsiTheme="majorHAnsi"/>
          <w:sz w:val="24"/>
          <w:szCs w:val="24"/>
          <w:lang w:val="ro-RO"/>
        </w:rPr>
        <w:t>Constat</w:t>
      </w:r>
      <w:r w:rsidR="00FF1EF8">
        <w:rPr>
          <w:rFonts w:asciiTheme="majorHAnsi" w:hAnsiTheme="majorHAnsi"/>
          <w:sz w:val="24"/>
          <w:szCs w:val="24"/>
          <w:lang w:val="ro-RO"/>
        </w:rPr>
        <w:t>ă</w:t>
      </w:r>
      <w:r>
        <w:rPr>
          <w:rFonts w:asciiTheme="majorHAnsi" w:hAnsiTheme="majorHAnsi"/>
          <w:sz w:val="24"/>
          <w:szCs w:val="24"/>
          <w:lang w:val="ro-RO"/>
        </w:rPr>
        <w:t xml:space="preserve">rile </w:t>
      </w:r>
      <w:r w:rsidR="00FF1EF8">
        <w:rPr>
          <w:rFonts w:asciiTheme="majorHAnsi" w:hAnsiTheme="majorHAnsi"/>
          <w:sz w:val="24"/>
          <w:szCs w:val="24"/>
          <w:lang w:val="ro-RO"/>
        </w:rPr>
        <w:t>ş</w:t>
      </w:r>
      <w:r>
        <w:rPr>
          <w:rFonts w:asciiTheme="majorHAnsi" w:hAnsiTheme="majorHAnsi"/>
          <w:sz w:val="24"/>
          <w:szCs w:val="24"/>
          <w:lang w:val="ro-RO"/>
        </w:rPr>
        <w:t>i recomand</w:t>
      </w:r>
      <w:r w:rsidR="00FF1EF8">
        <w:rPr>
          <w:rFonts w:asciiTheme="majorHAnsi" w:hAnsiTheme="majorHAnsi"/>
          <w:sz w:val="24"/>
          <w:szCs w:val="24"/>
          <w:lang w:val="ro-RO"/>
        </w:rPr>
        <w:t>ările de mai jos se baz</w:t>
      </w:r>
      <w:r>
        <w:rPr>
          <w:rFonts w:asciiTheme="majorHAnsi" w:hAnsiTheme="majorHAnsi"/>
          <w:sz w:val="24"/>
          <w:szCs w:val="24"/>
          <w:lang w:val="ro-RO"/>
        </w:rPr>
        <w:t>ea</w:t>
      </w:r>
      <w:r w:rsidR="00FF1EF8">
        <w:rPr>
          <w:rFonts w:asciiTheme="majorHAnsi" w:hAnsiTheme="majorHAnsi"/>
          <w:sz w:val="24"/>
          <w:szCs w:val="24"/>
          <w:lang w:val="ro-RO"/>
        </w:rPr>
        <w:t>ză</w:t>
      </w:r>
      <w:r>
        <w:rPr>
          <w:rFonts w:asciiTheme="majorHAnsi" w:hAnsiTheme="majorHAnsi"/>
          <w:sz w:val="24"/>
          <w:szCs w:val="24"/>
          <w:lang w:val="ro-RO"/>
        </w:rPr>
        <w:t xml:space="preserve"> pe re</w:t>
      </w:r>
      <w:r w:rsidR="00FF1EF8">
        <w:rPr>
          <w:rFonts w:asciiTheme="majorHAnsi" w:hAnsiTheme="majorHAnsi"/>
          <w:sz w:val="24"/>
          <w:szCs w:val="24"/>
          <w:lang w:val="ro-RO"/>
        </w:rPr>
        <w:t>z</w:t>
      </w:r>
      <w:r>
        <w:rPr>
          <w:rFonts w:asciiTheme="majorHAnsi" w:hAnsiTheme="majorHAnsi"/>
          <w:sz w:val="24"/>
          <w:szCs w:val="24"/>
          <w:lang w:val="ro-RO"/>
        </w:rPr>
        <w:t xml:space="preserve">ultatele </w:t>
      </w:r>
      <w:r w:rsidR="00C267F6">
        <w:rPr>
          <w:rFonts w:asciiTheme="majorHAnsi" w:hAnsiTheme="majorHAnsi"/>
          <w:sz w:val="24"/>
          <w:szCs w:val="24"/>
          <w:lang w:val="ro-RO"/>
        </w:rPr>
        <w:t xml:space="preserve">expertizei a 77 de proiecte de acte normative din perspectiva drepturilor omului, realizate </w:t>
      </w:r>
      <w:r w:rsidR="00C16CDC">
        <w:rPr>
          <w:rFonts w:asciiTheme="majorHAnsi" w:hAnsiTheme="majorHAnsi"/>
          <w:sz w:val="24"/>
          <w:szCs w:val="24"/>
          <w:lang w:val="ro-RO"/>
        </w:rPr>
        <w:t xml:space="preserve">de CAPC </w:t>
      </w:r>
      <w:r w:rsidR="008D215C">
        <w:rPr>
          <w:rFonts w:asciiTheme="majorHAnsi" w:hAnsiTheme="majorHAnsi"/>
          <w:sz w:val="24"/>
          <w:szCs w:val="24"/>
          <w:lang w:val="ro-RO"/>
        </w:rPr>
        <w:t xml:space="preserve">în perioade iunie 2013 - decembrie 2014, </w:t>
      </w:r>
      <w:r w:rsidR="00C267F6">
        <w:rPr>
          <w:rFonts w:asciiTheme="majorHAnsi" w:hAnsiTheme="majorHAnsi"/>
          <w:sz w:val="24"/>
          <w:szCs w:val="24"/>
          <w:lang w:val="ro-RO"/>
        </w:rPr>
        <w:t xml:space="preserve">în cadrul </w:t>
      </w:r>
      <w:r w:rsidR="008D215C" w:rsidRPr="00985EBC">
        <w:rPr>
          <w:rFonts w:asciiTheme="majorHAnsi" w:hAnsiTheme="majorHAnsi"/>
          <w:lang w:val="ro-RO"/>
        </w:rPr>
        <w:t>proiectul</w:t>
      </w:r>
      <w:r w:rsidR="008D215C">
        <w:rPr>
          <w:rFonts w:asciiTheme="majorHAnsi" w:hAnsiTheme="majorHAnsi"/>
          <w:lang w:val="ro-RO"/>
        </w:rPr>
        <w:t>ui</w:t>
      </w:r>
      <w:r w:rsidR="008D215C" w:rsidRPr="00985EBC">
        <w:rPr>
          <w:rFonts w:asciiTheme="majorHAnsi" w:hAnsiTheme="majorHAnsi"/>
          <w:lang w:val="ro-RO"/>
        </w:rPr>
        <w:t xml:space="preserve"> „</w:t>
      </w:r>
      <w:r w:rsidR="008D215C" w:rsidRPr="00985EBC">
        <w:rPr>
          <w:rFonts w:asciiTheme="majorHAnsi" w:hAnsiTheme="majorHAnsi"/>
          <w:i/>
          <w:lang w:val="ro-RO"/>
        </w:rPr>
        <w:t>Armonizarea legislaţiei la standardele internaţionale în domeniul drepturilor omului</w:t>
      </w:r>
      <w:r w:rsidR="008D215C" w:rsidRPr="00985EBC">
        <w:rPr>
          <w:rFonts w:asciiTheme="majorHAnsi" w:hAnsiTheme="majorHAnsi"/>
          <w:lang w:val="ro-RO"/>
        </w:rPr>
        <w:t>”,</w:t>
      </w:r>
      <w:r w:rsidR="008D215C">
        <w:rPr>
          <w:rFonts w:asciiTheme="majorHAnsi" w:hAnsiTheme="majorHAnsi"/>
          <w:lang w:val="ro-RO"/>
        </w:rPr>
        <w:t xml:space="preserve"> susţinut de Apărătorii Drepturilor Civile din Suedia.</w:t>
      </w:r>
      <w:r w:rsidR="008D215C" w:rsidRPr="00985EBC">
        <w:rPr>
          <w:rFonts w:asciiTheme="majorHAnsi" w:hAnsiTheme="majorHAnsi"/>
          <w:lang w:val="ro-RO"/>
        </w:rPr>
        <w:t xml:space="preserve">   </w:t>
      </w:r>
    </w:p>
    <w:p w:rsidR="00FF1EF8" w:rsidRDefault="00FF1EF8" w:rsidP="005F7F0A">
      <w:pPr>
        <w:rPr>
          <w:rFonts w:asciiTheme="majorHAnsi" w:hAnsiTheme="majorHAnsi"/>
          <w:sz w:val="24"/>
          <w:szCs w:val="24"/>
          <w:lang w:val="ro-RO"/>
        </w:rPr>
      </w:pPr>
    </w:p>
    <w:p w:rsidR="008D215C" w:rsidRPr="00C16CDC" w:rsidRDefault="00C22F0B" w:rsidP="005F7F0A">
      <w:pPr>
        <w:rPr>
          <w:rFonts w:asciiTheme="majorHAnsi" w:hAnsiTheme="majorHAnsi"/>
          <w:i/>
          <w:sz w:val="24"/>
          <w:szCs w:val="24"/>
          <w:u w:val="single"/>
          <w:lang w:val="ro-RO"/>
        </w:rPr>
      </w:pPr>
      <w:r w:rsidRPr="00C22F0B">
        <w:rPr>
          <w:rFonts w:asciiTheme="majorHAnsi" w:hAnsiTheme="majorHAnsi"/>
          <w:sz w:val="24"/>
          <w:szCs w:val="24"/>
          <w:lang w:val="ro-RO"/>
        </w:rPr>
        <w:t>Analiza rezultatelor expertizei a permis degajarea următoarelor</w:t>
      </w:r>
      <w:r>
        <w:rPr>
          <w:rFonts w:asciiTheme="majorHAnsi" w:hAnsiTheme="majorHAnsi"/>
          <w:i/>
          <w:sz w:val="24"/>
          <w:szCs w:val="24"/>
          <w:u w:val="single"/>
          <w:lang w:val="ro-RO"/>
        </w:rPr>
        <w:t xml:space="preserve"> c</w:t>
      </w:r>
      <w:r w:rsidR="008D215C" w:rsidRPr="00C16CDC">
        <w:rPr>
          <w:rFonts w:asciiTheme="majorHAnsi" w:hAnsiTheme="majorHAnsi"/>
          <w:i/>
          <w:sz w:val="24"/>
          <w:szCs w:val="24"/>
          <w:u w:val="single"/>
          <w:lang w:val="ro-RO"/>
        </w:rPr>
        <w:t>onstatări</w:t>
      </w:r>
      <w:r w:rsidR="00DF3DFA">
        <w:rPr>
          <w:rFonts w:asciiTheme="majorHAnsi" w:hAnsiTheme="majorHAnsi"/>
          <w:i/>
          <w:sz w:val="24"/>
          <w:szCs w:val="24"/>
          <w:u w:val="single"/>
          <w:lang w:val="ro-RO"/>
        </w:rPr>
        <w:t xml:space="preserve"> </w:t>
      </w:r>
      <w:r w:rsidR="00DF3DFA" w:rsidRPr="00DF3DFA">
        <w:rPr>
          <w:rFonts w:asciiTheme="majorHAnsi" w:hAnsiTheme="majorHAnsi"/>
          <w:sz w:val="24"/>
          <w:szCs w:val="24"/>
          <w:lang w:val="ro-RO"/>
        </w:rPr>
        <w:t xml:space="preserve">şi </w:t>
      </w:r>
      <w:r w:rsidR="00DF3DFA">
        <w:rPr>
          <w:rFonts w:asciiTheme="majorHAnsi" w:hAnsiTheme="majorHAnsi"/>
          <w:i/>
          <w:sz w:val="24"/>
          <w:szCs w:val="24"/>
          <w:u w:val="single"/>
          <w:lang w:val="ro-RO"/>
        </w:rPr>
        <w:t>recomandări</w:t>
      </w:r>
      <w:r w:rsidR="008D215C" w:rsidRPr="00C16CDC">
        <w:rPr>
          <w:rFonts w:asciiTheme="majorHAnsi" w:hAnsiTheme="majorHAnsi"/>
          <w:i/>
          <w:sz w:val="24"/>
          <w:szCs w:val="24"/>
          <w:u w:val="single"/>
          <w:lang w:val="ro-RO"/>
        </w:rPr>
        <w:t>:</w:t>
      </w:r>
    </w:p>
    <w:p w:rsidR="008D215C" w:rsidRPr="0070508A" w:rsidRDefault="008D215C" w:rsidP="005F7F0A">
      <w:pPr>
        <w:rPr>
          <w:rFonts w:asciiTheme="majorHAnsi" w:hAnsiTheme="majorHAnsi"/>
          <w:sz w:val="24"/>
          <w:szCs w:val="24"/>
          <w:lang w:val="ro-RO"/>
        </w:rPr>
      </w:pPr>
    </w:p>
    <w:p w:rsidR="00C22F0B" w:rsidRPr="00020186" w:rsidRDefault="00C22F0B" w:rsidP="00020186">
      <w:pPr>
        <w:pStyle w:val="ListParagraph"/>
        <w:numPr>
          <w:ilvl w:val="0"/>
          <w:numId w:val="29"/>
        </w:numPr>
        <w:rPr>
          <w:rFonts w:asciiTheme="majorHAnsi" w:hAnsiTheme="majorHAnsi"/>
          <w:lang w:val="ro-RO"/>
        </w:rPr>
      </w:pPr>
      <w:r w:rsidRPr="00020186">
        <w:rPr>
          <w:rFonts w:asciiTheme="majorHAnsi" w:hAnsiTheme="majorHAnsi"/>
          <w:lang w:val="ro-RO"/>
        </w:rPr>
        <w:t xml:space="preserve">Procesul de creaţie legislativă şi priorităţilor de legiferare a Parlamentului sunt  influenţate de existenţa documentelor de politici/strategiilor într-un anumit domeniu. </w:t>
      </w:r>
      <w:r w:rsidR="00C35230" w:rsidRPr="00020186">
        <w:rPr>
          <w:rFonts w:asciiTheme="majorHAnsi" w:hAnsiTheme="majorHAnsi"/>
          <w:lang w:val="ro-RO"/>
        </w:rPr>
        <w:t>Această tendinţă este una pozitivă, întrucît pe de o parte contribuie la implementarea politicilor/strategiilor, anterior adoptate, iar pe de altă parte contribuie la respectarea principului predictibilităţii legislaţiei.</w:t>
      </w:r>
    </w:p>
    <w:p w:rsidR="00C22F0B" w:rsidRPr="0070508A" w:rsidRDefault="00C22F0B" w:rsidP="00C35230">
      <w:pPr>
        <w:rPr>
          <w:rFonts w:asciiTheme="majorHAnsi" w:hAnsiTheme="majorHAnsi"/>
          <w:sz w:val="24"/>
          <w:szCs w:val="24"/>
          <w:lang w:val="ro-RO"/>
        </w:rPr>
      </w:pPr>
    </w:p>
    <w:p w:rsidR="00FF1EF8" w:rsidRPr="00020186" w:rsidRDefault="00F02C8C" w:rsidP="00020186">
      <w:pPr>
        <w:pStyle w:val="ListParagraph"/>
        <w:numPr>
          <w:ilvl w:val="0"/>
          <w:numId w:val="29"/>
        </w:numPr>
        <w:rPr>
          <w:rFonts w:asciiTheme="majorHAnsi" w:hAnsiTheme="majorHAnsi"/>
          <w:lang w:val="ro-RO"/>
        </w:rPr>
      </w:pPr>
      <w:r w:rsidRPr="00020186">
        <w:rPr>
          <w:rFonts w:asciiTheme="majorHAnsi" w:hAnsiTheme="majorHAnsi"/>
          <w:lang w:val="ro-RO"/>
        </w:rPr>
        <w:t>A crescut numărul  de</w:t>
      </w:r>
      <w:r w:rsidR="000B2A02" w:rsidRPr="00020186">
        <w:rPr>
          <w:rFonts w:asciiTheme="majorHAnsi" w:hAnsiTheme="majorHAnsi"/>
          <w:lang w:val="ro-RO"/>
        </w:rPr>
        <w:t xml:space="preserve"> </w:t>
      </w:r>
      <w:r w:rsidRPr="00020186">
        <w:rPr>
          <w:rFonts w:asciiTheme="majorHAnsi" w:hAnsiTheme="majorHAnsi"/>
          <w:lang w:val="ro-RO"/>
        </w:rPr>
        <w:t xml:space="preserve">iniţiative legislative </w:t>
      </w:r>
      <w:r w:rsidR="000B2A02" w:rsidRPr="00020186">
        <w:rPr>
          <w:rFonts w:asciiTheme="majorHAnsi" w:hAnsiTheme="majorHAnsi"/>
          <w:lang w:val="ro-RO"/>
        </w:rPr>
        <w:t xml:space="preserve">a </w:t>
      </w:r>
      <w:r w:rsidRPr="00020186">
        <w:rPr>
          <w:rFonts w:asciiTheme="majorHAnsi" w:hAnsiTheme="majorHAnsi"/>
          <w:lang w:val="ro-RO"/>
        </w:rPr>
        <w:t>deputaţi</w:t>
      </w:r>
      <w:r w:rsidR="000B2A02" w:rsidRPr="00020186">
        <w:rPr>
          <w:rFonts w:asciiTheme="majorHAnsi" w:hAnsiTheme="majorHAnsi"/>
          <w:lang w:val="ro-RO"/>
        </w:rPr>
        <w:t>lor</w:t>
      </w:r>
      <w:r w:rsidRPr="00020186">
        <w:rPr>
          <w:rFonts w:asciiTheme="majorHAnsi" w:hAnsiTheme="majorHAnsi"/>
          <w:lang w:val="ro-RO"/>
        </w:rPr>
        <w:t xml:space="preserve"> şi </w:t>
      </w:r>
      <w:r w:rsidR="00AD1A0B" w:rsidRPr="00020186">
        <w:rPr>
          <w:rFonts w:asciiTheme="majorHAnsi" w:hAnsiTheme="majorHAnsi"/>
          <w:lang w:val="ro-RO"/>
        </w:rPr>
        <w:t xml:space="preserve">a </w:t>
      </w:r>
      <w:r w:rsidRPr="00020186">
        <w:rPr>
          <w:rFonts w:asciiTheme="majorHAnsi" w:hAnsiTheme="majorHAnsi"/>
          <w:lang w:val="ro-RO"/>
        </w:rPr>
        <w:t>u</w:t>
      </w:r>
      <w:r w:rsidR="00AD1A0B" w:rsidRPr="00020186">
        <w:rPr>
          <w:rFonts w:asciiTheme="majorHAnsi" w:hAnsiTheme="majorHAnsi"/>
          <w:lang w:val="ro-RO"/>
        </w:rPr>
        <w:t xml:space="preserve">nui </w:t>
      </w:r>
      <w:r w:rsidRPr="00020186">
        <w:rPr>
          <w:rFonts w:asciiTheme="majorHAnsi" w:hAnsiTheme="majorHAnsi"/>
          <w:lang w:val="ro-RO"/>
        </w:rPr>
        <w:t>grup de deputaţi</w:t>
      </w:r>
      <w:r w:rsidR="000B2A02" w:rsidRPr="00020186">
        <w:rPr>
          <w:rFonts w:asciiTheme="majorHAnsi" w:hAnsiTheme="majorHAnsi"/>
          <w:lang w:val="ro-RO"/>
        </w:rPr>
        <w:t>. În ciuda faptului că aceste iniţiative, de obicei</w:t>
      </w:r>
      <w:r w:rsidR="000B2A02" w:rsidRPr="007139C9">
        <w:rPr>
          <w:rFonts w:asciiTheme="majorHAnsi" w:hAnsiTheme="majorHAnsi"/>
          <w:lang w:val="ro-RO"/>
        </w:rPr>
        <w:t xml:space="preserve">, </w:t>
      </w:r>
      <w:r w:rsidR="00AD1A0B" w:rsidRPr="007139C9">
        <w:rPr>
          <w:rFonts w:asciiTheme="majorHAnsi" w:hAnsiTheme="majorHAnsi"/>
          <w:lang w:val="ro-RO"/>
        </w:rPr>
        <w:t xml:space="preserve">nu corespund exigenţelor </w:t>
      </w:r>
      <w:r w:rsidR="007139C9" w:rsidRPr="007139C9">
        <w:rPr>
          <w:rFonts w:asciiTheme="majorHAnsi" w:hAnsiTheme="majorHAnsi"/>
          <w:lang w:val="ro-RO"/>
        </w:rPr>
        <w:t xml:space="preserve"> Legii privind actele legislative</w:t>
      </w:r>
      <w:r w:rsidR="00AD1A0B" w:rsidRPr="007139C9">
        <w:rPr>
          <w:rFonts w:asciiTheme="majorHAnsi" w:hAnsiTheme="majorHAnsi"/>
          <w:lang w:val="ro-RO"/>
        </w:rPr>
        <w:t>, iar iniţiativele unui g</w:t>
      </w:r>
      <w:r w:rsidR="00AD1A0B" w:rsidRPr="00020186">
        <w:rPr>
          <w:rFonts w:asciiTheme="majorHAnsi" w:hAnsiTheme="majorHAnsi"/>
          <w:lang w:val="ro-RO"/>
        </w:rPr>
        <w:t xml:space="preserve">rup de deputaţi mai degrabă reflectă o solidaritate de partid sau de interese, </w:t>
      </w:r>
      <w:r w:rsidR="0070508A" w:rsidRPr="00020186">
        <w:rPr>
          <w:rFonts w:asciiTheme="majorHAnsi" w:hAnsiTheme="majorHAnsi"/>
          <w:lang w:val="ro-RO"/>
        </w:rPr>
        <w:t xml:space="preserve"> </w:t>
      </w:r>
      <w:r w:rsidR="00AD1A0B" w:rsidRPr="00020186">
        <w:rPr>
          <w:rFonts w:asciiTheme="majorHAnsi" w:hAnsiTheme="majorHAnsi"/>
          <w:lang w:val="ro-RO"/>
        </w:rPr>
        <w:t>decît o solidaritate</w:t>
      </w:r>
      <w:r w:rsidR="0070508A" w:rsidRPr="00020186">
        <w:rPr>
          <w:rFonts w:asciiTheme="majorHAnsi" w:hAnsiTheme="majorHAnsi"/>
          <w:lang w:val="ro-RO"/>
        </w:rPr>
        <w:t xml:space="preserve"> de viziune asupra unor domenii de interes public</w:t>
      </w:r>
      <w:r w:rsidR="00AD1A0B" w:rsidRPr="00020186">
        <w:rPr>
          <w:rFonts w:asciiTheme="majorHAnsi" w:hAnsiTheme="majorHAnsi"/>
          <w:lang w:val="ro-RO"/>
        </w:rPr>
        <w:t>,</w:t>
      </w:r>
      <w:r w:rsidR="0070508A" w:rsidRPr="00020186">
        <w:rPr>
          <w:rFonts w:asciiTheme="majorHAnsi" w:hAnsiTheme="majorHAnsi"/>
          <w:lang w:val="ro-RO"/>
        </w:rPr>
        <w:t xml:space="preserve"> totuşi</w:t>
      </w:r>
      <w:r w:rsidR="00AD1A0B" w:rsidRPr="00020186">
        <w:rPr>
          <w:rFonts w:asciiTheme="majorHAnsi" w:hAnsiTheme="majorHAnsi"/>
          <w:lang w:val="ro-RO"/>
        </w:rPr>
        <w:t xml:space="preserve"> această tendinţă este</w:t>
      </w:r>
      <w:r w:rsidR="0070508A" w:rsidRPr="00020186">
        <w:rPr>
          <w:rFonts w:asciiTheme="majorHAnsi" w:hAnsiTheme="majorHAnsi"/>
          <w:lang w:val="ro-RO"/>
        </w:rPr>
        <w:t xml:space="preserve"> una</w:t>
      </w:r>
      <w:r w:rsidR="00AD1A0B" w:rsidRPr="00020186">
        <w:rPr>
          <w:rFonts w:asciiTheme="majorHAnsi" w:hAnsiTheme="majorHAnsi"/>
          <w:lang w:val="ro-RO"/>
        </w:rPr>
        <w:t xml:space="preserve"> pozitivă.</w:t>
      </w:r>
    </w:p>
    <w:p w:rsidR="00F02C8C" w:rsidRDefault="00F02C8C" w:rsidP="005F7F0A">
      <w:pPr>
        <w:rPr>
          <w:rFonts w:asciiTheme="majorHAnsi" w:hAnsiTheme="majorHAnsi"/>
          <w:sz w:val="24"/>
          <w:szCs w:val="24"/>
          <w:lang w:val="ro-RO"/>
        </w:rPr>
      </w:pPr>
    </w:p>
    <w:p w:rsidR="0070508A" w:rsidRPr="00020186" w:rsidRDefault="0070508A" w:rsidP="00020186">
      <w:pPr>
        <w:pStyle w:val="ListParagraph"/>
        <w:numPr>
          <w:ilvl w:val="0"/>
          <w:numId w:val="29"/>
        </w:numPr>
        <w:rPr>
          <w:rFonts w:asciiTheme="majorHAnsi" w:hAnsiTheme="majorHAnsi"/>
          <w:lang w:val="ro-RO"/>
        </w:rPr>
      </w:pPr>
      <w:r w:rsidRPr="00020186">
        <w:rPr>
          <w:rFonts w:asciiTheme="majorHAnsi" w:hAnsiTheme="majorHAnsi"/>
          <w:lang w:val="ro-RO"/>
        </w:rPr>
        <w:t>Deşi majoritatea proiectelor de legi expertizate conţineau o argumentare suficientă a promovării,</w:t>
      </w:r>
      <w:r w:rsidR="002971FC" w:rsidRPr="00020186">
        <w:rPr>
          <w:rFonts w:asciiTheme="majorHAnsi" w:hAnsiTheme="majorHAnsi"/>
          <w:lang w:val="ro-RO"/>
        </w:rPr>
        <w:t xml:space="preserve"> totuşi, nici o notă informativă nu era însoţită de lista actelor care trebuie să fie elaborate sau revizuite în legătură cu adoptarea actului legislativ. Totodată, nici o notă informativă nu conţinea d</w:t>
      </w:r>
      <w:r w:rsidR="007139C9">
        <w:rPr>
          <w:rFonts w:asciiTheme="majorHAnsi" w:hAnsiTheme="majorHAnsi"/>
          <w:lang w:val="ro-RO"/>
        </w:rPr>
        <w:t>eclaraţia de</w:t>
      </w:r>
      <w:r w:rsidR="002971FC" w:rsidRPr="00020186">
        <w:rPr>
          <w:rFonts w:asciiTheme="majorHAnsi" w:hAnsiTheme="majorHAnsi"/>
          <w:lang w:val="ro-RO"/>
        </w:rPr>
        <w:t xml:space="preserve"> compatibilitate</w:t>
      </w:r>
      <w:r w:rsidR="007139C9">
        <w:rPr>
          <w:rFonts w:asciiTheme="majorHAnsi" w:hAnsiTheme="majorHAnsi"/>
          <w:lang w:val="ro-RO"/>
        </w:rPr>
        <w:t xml:space="preserve"> </w:t>
      </w:r>
      <w:r w:rsidR="002971FC" w:rsidRPr="00020186">
        <w:rPr>
          <w:rFonts w:asciiTheme="majorHAnsi" w:hAnsiTheme="majorHAnsi"/>
          <w:lang w:val="ro-RO"/>
        </w:rPr>
        <w:t>a proiectului de lege cu cadrul comunitar.</w:t>
      </w:r>
    </w:p>
    <w:p w:rsidR="002971FC" w:rsidRDefault="002971FC" w:rsidP="005F7F0A">
      <w:pPr>
        <w:rPr>
          <w:rFonts w:asciiTheme="majorHAnsi" w:hAnsiTheme="majorHAnsi"/>
          <w:sz w:val="24"/>
          <w:szCs w:val="24"/>
          <w:lang w:val="ro-RO"/>
        </w:rPr>
      </w:pPr>
    </w:p>
    <w:p w:rsidR="003D01D6" w:rsidRPr="00985EBC" w:rsidRDefault="006F0DDC" w:rsidP="00020186">
      <w:pPr>
        <w:pStyle w:val="ListParagraph1"/>
        <w:numPr>
          <w:ilvl w:val="0"/>
          <w:numId w:val="29"/>
        </w:numPr>
        <w:tabs>
          <w:tab w:val="left" w:pos="1620"/>
        </w:tabs>
        <w:spacing w:after="0" w:line="240" w:lineRule="auto"/>
        <w:jc w:val="both"/>
        <w:rPr>
          <w:rFonts w:ascii="Cambria" w:eastAsiaTheme="minorHAnsi" w:hAnsi="Cambria" w:cs="Arial"/>
          <w:sz w:val="24"/>
          <w:szCs w:val="24"/>
        </w:rPr>
      </w:pPr>
      <w:r>
        <w:rPr>
          <w:rFonts w:asciiTheme="majorHAnsi" w:hAnsiTheme="majorHAnsi"/>
          <w:sz w:val="24"/>
          <w:szCs w:val="24"/>
        </w:rPr>
        <w:lastRenderedPageBreak/>
        <w:t xml:space="preserve">Majoritatea proiectelor de legi nu oferă nici un mecanism </w:t>
      </w:r>
      <w:r w:rsidR="009B2C67">
        <w:rPr>
          <w:rFonts w:asciiTheme="majorHAnsi" w:hAnsiTheme="majorHAnsi"/>
          <w:sz w:val="24"/>
          <w:szCs w:val="24"/>
        </w:rPr>
        <w:t>(</w:t>
      </w:r>
      <w:r>
        <w:rPr>
          <w:rFonts w:asciiTheme="majorHAnsi" w:hAnsiTheme="majorHAnsi"/>
          <w:sz w:val="24"/>
          <w:szCs w:val="24"/>
        </w:rPr>
        <w:t>sau acestea sunt nesatisfăcătoare</w:t>
      </w:r>
      <w:r w:rsidR="009B2C67">
        <w:rPr>
          <w:rFonts w:asciiTheme="majorHAnsi" w:hAnsiTheme="majorHAnsi"/>
          <w:sz w:val="24"/>
          <w:szCs w:val="24"/>
        </w:rPr>
        <w:t>)</w:t>
      </w:r>
      <w:r>
        <w:rPr>
          <w:rFonts w:asciiTheme="majorHAnsi" w:hAnsiTheme="majorHAnsi"/>
          <w:sz w:val="24"/>
          <w:szCs w:val="24"/>
        </w:rPr>
        <w:t xml:space="preserve"> de respectare a principiilor participării şi responsabilizării.</w:t>
      </w:r>
      <w:r w:rsidR="006848CB">
        <w:rPr>
          <w:rFonts w:asciiTheme="majorHAnsi" w:hAnsiTheme="majorHAnsi"/>
          <w:sz w:val="24"/>
          <w:szCs w:val="24"/>
        </w:rPr>
        <w:t xml:space="preserve"> Or, existenţa unor mecanisme eficiente de respectare a acestor principii în procesul implementării legilor</w:t>
      </w:r>
      <w:r w:rsidR="003D01D6">
        <w:rPr>
          <w:rFonts w:asciiTheme="majorHAnsi" w:hAnsiTheme="majorHAnsi"/>
          <w:sz w:val="24"/>
          <w:szCs w:val="24"/>
        </w:rPr>
        <w:t xml:space="preserve"> </w:t>
      </w:r>
      <w:r w:rsidR="003D01D6" w:rsidRPr="00985EBC">
        <w:rPr>
          <w:rFonts w:ascii="Cambria" w:eastAsiaTheme="minorHAnsi" w:hAnsi="Cambria" w:cs="Arial"/>
          <w:sz w:val="24"/>
          <w:szCs w:val="24"/>
        </w:rPr>
        <w:t>asigur</w:t>
      </w:r>
      <w:r w:rsidR="003D01D6">
        <w:rPr>
          <w:rFonts w:ascii="Cambria" w:eastAsiaTheme="minorHAnsi" w:hAnsi="Cambria" w:cs="Arial"/>
          <w:sz w:val="24"/>
          <w:szCs w:val="24"/>
        </w:rPr>
        <w:t>ă</w:t>
      </w:r>
      <w:r w:rsidR="003D01D6" w:rsidRPr="00985EBC">
        <w:rPr>
          <w:rFonts w:ascii="Cambria" w:eastAsiaTheme="minorHAnsi" w:hAnsi="Cambria" w:cs="Arial"/>
          <w:sz w:val="24"/>
          <w:szCs w:val="24"/>
        </w:rPr>
        <w:t xml:space="preserve"> participarea directă a cetăţenilor în procesul decizional şi-l eficientize</w:t>
      </w:r>
      <w:r w:rsidR="003D01D6">
        <w:rPr>
          <w:rFonts w:ascii="Cambria" w:eastAsiaTheme="minorHAnsi" w:hAnsi="Cambria" w:cs="Arial"/>
          <w:sz w:val="24"/>
          <w:szCs w:val="24"/>
        </w:rPr>
        <w:t>a</w:t>
      </w:r>
      <w:r w:rsidR="003D01D6" w:rsidRPr="00985EBC">
        <w:rPr>
          <w:rFonts w:ascii="Cambria" w:eastAsiaTheme="minorHAnsi" w:hAnsi="Cambria" w:cs="Arial"/>
          <w:sz w:val="24"/>
          <w:szCs w:val="24"/>
        </w:rPr>
        <w:t>z</w:t>
      </w:r>
      <w:r w:rsidR="003D01D6">
        <w:rPr>
          <w:rFonts w:ascii="Cambria" w:eastAsiaTheme="minorHAnsi" w:hAnsi="Cambria" w:cs="Arial"/>
          <w:sz w:val="24"/>
          <w:szCs w:val="24"/>
        </w:rPr>
        <w:t xml:space="preserve">ă, </w:t>
      </w:r>
      <w:r w:rsidR="003D01D6" w:rsidRPr="00985EBC">
        <w:rPr>
          <w:rFonts w:ascii="Cambria" w:eastAsiaTheme="minorHAnsi" w:hAnsi="Cambria" w:cs="Arial"/>
          <w:sz w:val="24"/>
          <w:szCs w:val="24"/>
        </w:rPr>
        <w:t>spore</w:t>
      </w:r>
      <w:r w:rsidR="003D01D6">
        <w:rPr>
          <w:rFonts w:ascii="Cambria" w:eastAsiaTheme="minorHAnsi" w:hAnsi="Cambria" w:cs="Arial"/>
          <w:sz w:val="24"/>
          <w:szCs w:val="24"/>
        </w:rPr>
        <w:t xml:space="preserve">şte </w:t>
      </w:r>
      <w:r w:rsidR="003D01D6" w:rsidRPr="00985EBC">
        <w:rPr>
          <w:rFonts w:ascii="Cambria" w:eastAsiaTheme="minorHAnsi" w:hAnsi="Cambria" w:cs="Arial"/>
          <w:sz w:val="24"/>
          <w:szCs w:val="24"/>
        </w:rPr>
        <w:t>gradul de răspundere al autorităţilor publice faţă de cetăţeni</w:t>
      </w:r>
      <w:r w:rsidR="003D01D6">
        <w:rPr>
          <w:rFonts w:ascii="Cambria" w:eastAsiaTheme="minorHAnsi" w:hAnsi="Cambria" w:cs="Arial"/>
          <w:sz w:val="24"/>
          <w:szCs w:val="24"/>
        </w:rPr>
        <w:t xml:space="preserve">, </w:t>
      </w:r>
      <w:r w:rsidR="003D01D6" w:rsidRPr="00985EBC">
        <w:rPr>
          <w:rFonts w:ascii="Cambria" w:eastAsiaTheme="minorHAnsi" w:hAnsi="Cambria" w:cs="Arial"/>
          <w:sz w:val="24"/>
          <w:szCs w:val="24"/>
        </w:rPr>
        <w:t>stimule</w:t>
      </w:r>
      <w:r w:rsidR="003D01D6">
        <w:rPr>
          <w:rFonts w:ascii="Cambria" w:eastAsiaTheme="minorHAnsi" w:hAnsi="Cambria" w:cs="Arial"/>
          <w:sz w:val="24"/>
          <w:szCs w:val="24"/>
        </w:rPr>
        <w:t>a</w:t>
      </w:r>
      <w:r w:rsidR="003D01D6" w:rsidRPr="00985EBC">
        <w:rPr>
          <w:rFonts w:ascii="Cambria" w:eastAsiaTheme="minorHAnsi" w:hAnsi="Cambria" w:cs="Arial"/>
          <w:sz w:val="24"/>
          <w:szCs w:val="24"/>
        </w:rPr>
        <w:t>z</w:t>
      </w:r>
      <w:r w:rsidR="003D01D6">
        <w:rPr>
          <w:rFonts w:ascii="Cambria" w:eastAsiaTheme="minorHAnsi" w:hAnsi="Cambria" w:cs="Arial"/>
          <w:sz w:val="24"/>
          <w:szCs w:val="24"/>
        </w:rPr>
        <w:t>ă</w:t>
      </w:r>
      <w:r w:rsidR="003D01D6" w:rsidRPr="00985EBC">
        <w:rPr>
          <w:rFonts w:ascii="Cambria" w:eastAsiaTheme="minorHAnsi" w:hAnsi="Cambria" w:cs="Arial"/>
          <w:sz w:val="24"/>
          <w:szCs w:val="24"/>
        </w:rPr>
        <w:t xml:space="preserve"> participarea activă a cetăţenilor</w:t>
      </w:r>
      <w:r w:rsidR="003D01D6">
        <w:rPr>
          <w:rFonts w:ascii="Cambria" w:eastAsiaTheme="minorHAnsi" w:hAnsi="Cambria" w:cs="Arial"/>
          <w:sz w:val="24"/>
          <w:szCs w:val="24"/>
        </w:rPr>
        <w:t xml:space="preserve"> în</w:t>
      </w:r>
      <w:r w:rsidR="003D01D6" w:rsidRPr="00985EBC">
        <w:rPr>
          <w:rFonts w:ascii="Cambria" w:eastAsiaTheme="minorHAnsi" w:hAnsi="Cambria" w:cs="Arial"/>
          <w:sz w:val="24"/>
          <w:szCs w:val="24"/>
        </w:rPr>
        <w:t xml:space="preserve"> procesul decizional.</w:t>
      </w:r>
    </w:p>
    <w:p w:rsidR="0070508A" w:rsidRDefault="0070508A" w:rsidP="005F7F0A">
      <w:pPr>
        <w:rPr>
          <w:rFonts w:asciiTheme="majorHAnsi" w:hAnsiTheme="majorHAnsi"/>
          <w:sz w:val="24"/>
          <w:szCs w:val="24"/>
          <w:lang w:val="ro-RO"/>
        </w:rPr>
      </w:pPr>
    </w:p>
    <w:p w:rsidR="009B2C67" w:rsidRPr="00020186" w:rsidRDefault="00C04858" w:rsidP="00020186">
      <w:pPr>
        <w:pStyle w:val="ListParagraph"/>
        <w:numPr>
          <w:ilvl w:val="0"/>
          <w:numId w:val="29"/>
        </w:numPr>
        <w:rPr>
          <w:rFonts w:asciiTheme="majorHAnsi" w:hAnsiTheme="majorHAnsi"/>
          <w:lang w:val="ro-RO"/>
        </w:rPr>
      </w:pPr>
      <w:r w:rsidRPr="00020186">
        <w:rPr>
          <w:rFonts w:asciiTheme="majorHAnsi" w:hAnsiTheme="majorHAnsi"/>
          <w:lang w:val="ro-RO"/>
        </w:rPr>
        <w:t>Marea majoritate a proiectelor de legi expertizate au avut ca obiect de reglementare drepturi din categoria „Drepturilor şi libertăţilor</w:t>
      </w:r>
      <w:r w:rsidR="009B2C67" w:rsidRPr="00020186">
        <w:rPr>
          <w:rFonts w:asciiTheme="majorHAnsi" w:hAnsiTheme="majorHAnsi"/>
          <w:lang w:val="ro-RO"/>
        </w:rPr>
        <w:t xml:space="preserve"> social-economice</w:t>
      </w:r>
      <w:r w:rsidRPr="00020186">
        <w:rPr>
          <w:rFonts w:asciiTheme="majorHAnsi" w:hAnsiTheme="majorHAnsi"/>
          <w:lang w:val="ro-RO"/>
        </w:rPr>
        <w:t>”</w:t>
      </w:r>
      <w:r w:rsidR="00514278" w:rsidRPr="00020186">
        <w:rPr>
          <w:rFonts w:asciiTheme="majorHAnsi" w:hAnsiTheme="majorHAnsi"/>
          <w:lang w:val="ro-RO"/>
        </w:rPr>
        <w:t>, iar</w:t>
      </w:r>
      <w:r w:rsidRPr="00020186">
        <w:rPr>
          <w:rFonts w:asciiTheme="majorHAnsi" w:hAnsiTheme="majorHAnsi"/>
          <w:lang w:val="ro-RO"/>
        </w:rPr>
        <w:t xml:space="preserve"> </w:t>
      </w:r>
      <w:r w:rsidR="00514278" w:rsidRPr="00020186">
        <w:rPr>
          <w:rFonts w:asciiTheme="majorHAnsi" w:hAnsiTheme="majorHAnsi"/>
          <w:lang w:val="ro-RO"/>
        </w:rPr>
        <w:t xml:space="preserve"> </w:t>
      </w:r>
      <w:r w:rsidRPr="00020186">
        <w:rPr>
          <w:rFonts w:asciiTheme="majorHAnsi" w:hAnsiTheme="majorHAnsi"/>
          <w:lang w:val="ro-RO"/>
        </w:rPr>
        <w:t>din punct de vedere a impactului gender au fost apre</w:t>
      </w:r>
      <w:r w:rsidR="00514278" w:rsidRPr="00020186">
        <w:rPr>
          <w:rFonts w:asciiTheme="majorHAnsi" w:hAnsiTheme="majorHAnsi"/>
          <w:lang w:val="ro-RO"/>
        </w:rPr>
        <w:t>c</w:t>
      </w:r>
      <w:r w:rsidRPr="00020186">
        <w:rPr>
          <w:rFonts w:asciiTheme="majorHAnsi" w:hAnsiTheme="majorHAnsi"/>
          <w:lang w:val="ro-RO"/>
        </w:rPr>
        <w:t xml:space="preserve">iate cu calificativul „neutre”, </w:t>
      </w:r>
      <w:r w:rsidR="00514278" w:rsidRPr="00020186">
        <w:rPr>
          <w:rFonts w:asciiTheme="majorHAnsi" w:hAnsiTheme="majorHAnsi"/>
          <w:lang w:val="ro-RO"/>
        </w:rPr>
        <w:t xml:space="preserve"> </w:t>
      </w:r>
      <w:r w:rsidR="0085304E" w:rsidRPr="00020186">
        <w:rPr>
          <w:rFonts w:ascii="Cambria" w:hAnsi="Cambria" w:cs="Arial"/>
          <w:lang w:val="ro-RO" w:eastAsia="ja-JP"/>
        </w:rPr>
        <w:t>ceea ce înseamnă că aceste proiecte de legi nu influenţează diferenţierea gender, nu contribuie la inegalitatea gender şi generează acelaşi impact atît asupra femeilor, cît şi bărbaţilor.</w:t>
      </w:r>
    </w:p>
    <w:p w:rsidR="00F02C8C" w:rsidRDefault="00F02C8C" w:rsidP="005F7F0A">
      <w:pPr>
        <w:rPr>
          <w:rFonts w:asciiTheme="majorHAnsi" w:hAnsiTheme="majorHAnsi"/>
          <w:sz w:val="24"/>
          <w:szCs w:val="24"/>
          <w:lang w:val="ro-RO"/>
        </w:rPr>
      </w:pPr>
    </w:p>
    <w:p w:rsidR="00514278" w:rsidRPr="00020186" w:rsidRDefault="00514278" w:rsidP="00020186">
      <w:pPr>
        <w:pStyle w:val="ListParagraph"/>
        <w:numPr>
          <w:ilvl w:val="0"/>
          <w:numId w:val="29"/>
        </w:numPr>
        <w:rPr>
          <w:rFonts w:asciiTheme="majorHAnsi" w:hAnsiTheme="majorHAnsi"/>
          <w:lang w:val="ro-RO"/>
        </w:rPr>
      </w:pPr>
      <w:r w:rsidRPr="00020186">
        <w:rPr>
          <w:rFonts w:asciiTheme="majorHAnsi" w:hAnsiTheme="majorHAnsi"/>
          <w:lang w:val="ro-RO"/>
        </w:rPr>
        <w:t>Efectuarea expertizei legislaţiei din perspectiva drepturilor omului pe parcursul unui an şi jumătate a demonstrat o eficienţă de 41,31% de obiecţii formulate de CAPC şi acceptate de Parlament.</w:t>
      </w:r>
    </w:p>
    <w:p w:rsidR="00514278" w:rsidRDefault="00514278" w:rsidP="005F7F0A">
      <w:pPr>
        <w:rPr>
          <w:rFonts w:asciiTheme="majorHAnsi" w:hAnsiTheme="majorHAnsi"/>
          <w:sz w:val="24"/>
          <w:szCs w:val="24"/>
          <w:lang w:val="ro-RO"/>
        </w:rPr>
      </w:pPr>
    </w:p>
    <w:p w:rsidR="00FF1EF8" w:rsidRDefault="00020186" w:rsidP="005F7F0A">
      <w:pPr>
        <w:rPr>
          <w:rFonts w:asciiTheme="majorHAnsi" w:hAnsiTheme="majorHAnsi"/>
          <w:sz w:val="24"/>
          <w:szCs w:val="24"/>
          <w:lang w:val="ro-RO"/>
        </w:rPr>
      </w:pPr>
      <w:r>
        <w:rPr>
          <w:rFonts w:asciiTheme="majorHAnsi" w:hAnsiTheme="majorHAnsi"/>
          <w:sz w:val="24"/>
          <w:szCs w:val="24"/>
          <w:lang w:val="ro-RO"/>
        </w:rPr>
        <w:t xml:space="preserve">În scopul eliminării fenomenelor „legislaţiei fluctuante” şi a „inflaţiei de legislaţie” este necesar ca toate entităţile cu drept de iniţiativă legislativă să respecte </w:t>
      </w:r>
      <w:r w:rsidR="00F02C8C">
        <w:rPr>
          <w:rFonts w:asciiTheme="majorHAnsi" w:hAnsiTheme="majorHAnsi"/>
          <w:sz w:val="24"/>
          <w:szCs w:val="24"/>
          <w:lang w:val="ro-RO"/>
        </w:rPr>
        <w:t>exigenţel</w:t>
      </w:r>
      <w:r>
        <w:rPr>
          <w:rFonts w:asciiTheme="majorHAnsi" w:hAnsiTheme="majorHAnsi"/>
          <w:sz w:val="24"/>
          <w:szCs w:val="24"/>
          <w:lang w:val="ro-RO"/>
        </w:rPr>
        <w:t>e</w:t>
      </w:r>
      <w:r w:rsidR="00F02C8C">
        <w:rPr>
          <w:rFonts w:asciiTheme="majorHAnsi" w:hAnsiTheme="majorHAnsi"/>
          <w:sz w:val="24"/>
          <w:szCs w:val="24"/>
          <w:lang w:val="ro-RO"/>
        </w:rPr>
        <w:t xml:space="preserve"> Legii</w:t>
      </w:r>
      <w:r>
        <w:rPr>
          <w:rFonts w:asciiTheme="majorHAnsi" w:hAnsiTheme="majorHAnsi"/>
          <w:sz w:val="24"/>
          <w:szCs w:val="24"/>
          <w:lang w:val="ro-RO"/>
        </w:rPr>
        <w:t xml:space="preserve"> nr.780 din 27.12.2001 privind actele legislative, o atenţie sporită fiind acordată argumentării promovării proiectelor de legi.</w:t>
      </w:r>
    </w:p>
    <w:p w:rsidR="00020186" w:rsidRDefault="00020186" w:rsidP="005F7F0A">
      <w:pPr>
        <w:rPr>
          <w:rFonts w:asciiTheme="majorHAnsi" w:hAnsiTheme="majorHAnsi"/>
          <w:sz w:val="24"/>
          <w:szCs w:val="24"/>
          <w:lang w:val="ro-RO"/>
        </w:rPr>
      </w:pPr>
    </w:p>
    <w:p w:rsidR="00DF3DFA" w:rsidRPr="00DF3DFA" w:rsidRDefault="00020186" w:rsidP="00DF3DFA">
      <w:pPr>
        <w:rPr>
          <w:rFonts w:asciiTheme="majorHAnsi" w:hAnsiTheme="majorHAnsi"/>
          <w:sz w:val="24"/>
          <w:szCs w:val="24"/>
          <w:lang w:val="ro-RO"/>
        </w:rPr>
      </w:pPr>
      <w:r>
        <w:rPr>
          <w:rFonts w:asciiTheme="majorHAnsi" w:hAnsiTheme="majorHAnsi"/>
          <w:sz w:val="24"/>
          <w:szCs w:val="24"/>
          <w:lang w:val="ro-RO"/>
        </w:rPr>
        <w:t xml:space="preserve">Deşi </w:t>
      </w:r>
      <w:r w:rsidR="00595B66">
        <w:rPr>
          <w:rFonts w:asciiTheme="majorHAnsi" w:hAnsiTheme="majorHAnsi"/>
          <w:sz w:val="24"/>
          <w:szCs w:val="24"/>
          <w:lang w:val="ro-RO"/>
        </w:rPr>
        <w:t>expertiz</w:t>
      </w:r>
      <w:r w:rsidR="00F71666">
        <w:rPr>
          <w:rFonts w:asciiTheme="majorHAnsi" w:hAnsiTheme="majorHAnsi"/>
          <w:sz w:val="24"/>
          <w:szCs w:val="24"/>
          <w:lang w:val="ro-RO"/>
        </w:rPr>
        <w:t>a</w:t>
      </w:r>
      <w:r w:rsidR="00595B66">
        <w:rPr>
          <w:rFonts w:asciiTheme="majorHAnsi" w:hAnsiTheme="majorHAnsi"/>
          <w:sz w:val="24"/>
          <w:szCs w:val="24"/>
          <w:lang w:val="ro-RO"/>
        </w:rPr>
        <w:t xml:space="preserve"> legislaţiei din perspectiva drepturilor omului </w:t>
      </w:r>
      <w:r w:rsidR="00DF3DFA">
        <w:rPr>
          <w:rFonts w:asciiTheme="majorHAnsi" w:hAnsiTheme="majorHAnsi"/>
          <w:sz w:val="24"/>
          <w:szCs w:val="24"/>
          <w:lang w:val="ro-RO"/>
        </w:rPr>
        <w:t xml:space="preserve">este implementată de un timp relativ scurt, aceasta şi-a demonstrat viabilitatea, iar multitudinea problemelor constate,  denotă necesitatea </w:t>
      </w:r>
      <w:r w:rsidR="00595B66">
        <w:rPr>
          <w:rFonts w:asciiTheme="majorHAnsi" w:hAnsiTheme="majorHAnsi"/>
          <w:sz w:val="24"/>
          <w:szCs w:val="24"/>
          <w:lang w:val="ro-RO"/>
        </w:rPr>
        <w:t xml:space="preserve"> </w:t>
      </w:r>
      <w:r w:rsidR="00DF3DFA" w:rsidRPr="00DF3DFA">
        <w:rPr>
          <w:rFonts w:ascii="Cambria" w:eastAsia="Calibri" w:hAnsi="Cambria" w:cs="Times New Roman"/>
          <w:sz w:val="24"/>
          <w:szCs w:val="24"/>
          <w:lang w:val="ro-RO"/>
        </w:rPr>
        <w:t>instituţionalizării unui mecanism de filtrare a proiectelor de legi prin prisma drepturilor omului</w:t>
      </w:r>
      <w:r w:rsidR="00DF3DFA">
        <w:rPr>
          <w:rFonts w:asciiTheme="majorHAnsi" w:hAnsiTheme="majorHAnsi"/>
          <w:sz w:val="24"/>
          <w:szCs w:val="24"/>
          <w:lang w:val="ro-RO"/>
        </w:rPr>
        <w:t>.</w:t>
      </w:r>
    </w:p>
    <w:p w:rsidR="00020186" w:rsidRDefault="00020186" w:rsidP="00DF3DFA">
      <w:pPr>
        <w:rPr>
          <w:rFonts w:asciiTheme="majorHAnsi" w:hAnsiTheme="majorHAnsi"/>
          <w:sz w:val="24"/>
          <w:szCs w:val="24"/>
          <w:lang w:val="ro-RO"/>
        </w:rPr>
      </w:pPr>
    </w:p>
    <w:sectPr w:rsidR="00020186" w:rsidSect="008372DF">
      <w:footerReference w:type="first" r:id="rId29"/>
      <w:pgSz w:w="11906" w:h="16838"/>
      <w:pgMar w:top="1134" w:right="850"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CEC" w:rsidRDefault="004F0CEC" w:rsidP="002A6D54">
      <w:r>
        <w:separator/>
      </w:r>
    </w:p>
  </w:endnote>
  <w:endnote w:type="continuationSeparator" w:id="0">
    <w:p w:rsidR="004F0CEC" w:rsidRDefault="004F0CEC" w:rsidP="002A6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CEC" w:rsidRDefault="004F0CEC">
    <w:pPr>
      <w:pStyle w:val="Footer"/>
    </w:pPr>
  </w:p>
  <w:p w:rsidR="004F0CEC" w:rsidRDefault="004F0C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CEC" w:rsidRDefault="004F0CEC" w:rsidP="002A6D54">
      <w:r>
        <w:separator/>
      </w:r>
    </w:p>
  </w:footnote>
  <w:footnote w:type="continuationSeparator" w:id="0">
    <w:p w:rsidR="004F0CEC" w:rsidRDefault="004F0CEC" w:rsidP="002A6D54">
      <w:r>
        <w:continuationSeparator/>
      </w:r>
    </w:p>
  </w:footnote>
  <w:footnote w:id="1">
    <w:p w:rsidR="004F0CEC" w:rsidRPr="002A6D54" w:rsidRDefault="004F0CEC">
      <w:pPr>
        <w:pStyle w:val="FootnoteText"/>
        <w:rPr>
          <w:sz w:val="16"/>
          <w:szCs w:val="16"/>
          <w:lang w:val="ro-RO"/>
        </w:rPr>
      </w:pPr>
      <w:r>
        <w:rPr>
          <w:rStyle w:val="FootnoteReference"/>
        </w:rPr>
        <w:footnoteRef/>
      </w:r>
      <w:r w:rsidRPr="002A6D54">
        <w:rPr>
          <w:rFonts w:asciiTheme="majorHAnsi" w:hAnsiTheme="majorHAnsi"/>
          <w:sz w:val="16"/>
          <w:szCs w:val="16"/>
          <w:lang w:val="ro-RO"/>
        </w:rPr>
        <w:t>Ghidul</w:t>
      </w:r>
      <w:r w:rsidRPr="002A6D54">
        <w:rPr>
          <w:rFonts w:asciiTheme="majorHAnsi" w:hAnsiTheme="majorHAnsi" w:cs="Arial"/>
          <w:shadow/>
          <w:sz w:val="16"/>
          <w:szCs w:val="16"/>
          <w:lang w:val="ro-RO"/>
        </w:rPr>
        <w:t xml:space="preserve"> pentru efectuarea expertizei vulnerabilităţii proiectelor de acte normative prin prisma drepturilor omului</w:t>
      </w:r>
      <w:r>
        <w:rPr>
          <w:rFonts w:asciiTheme="majorHAnsi" w:hAnsiTheme="majorHAnsi" w:cs="Arial"/>
          <w:shadow/>
          <w:sz w:val="16"/>
          <w:szCs w:val="16"/>
          <w:lang w:val="ro-RO"/>
        </w:rPr>
        <w:t xml:space="preserve">, </w:t>
      </w:r>
      <w:hyperlink r:id="rId1" w:history="1">
        <w:r w:rsidRPr="004A34FB">
          <w:rPr>
            <w:rStyle w:val="Hyperlink"/>
            <w:rFonts w:asciiTheme="majorHAnsi" w:hAnsiTheme="majorHAnsi" w:cs="Arial"/>
            <w:shadow/>
            <w:sz w:val="16"/>
            <w:szCs w:val="16"/>
            <w:lang w:val="ro-RO"/>
          </w:rPr>
          <w:t>www.capc.md</w:t>
        </w:r>
      </w:hyperlink>
      <w:r>
        <w:rPr>
          <w:rFonts w:asciiTheme="majorHAnsi" w:hAnsiTheme="majorHAnsi" w:cs="Arial"/>
          <w:shadow/>
          <w:sz w:val="16"/>
          <w:szCs w:val="16"/>
          <w:lang w:val="ro-RO"/>
        </w:rPr>
        <w:t xml:space="preserve"> </w:t>
      </w:r>
      <w:r w:rsidRPr="003717C1">
        <w:rPr>
          <w:sz w:val="16"/>
          <w:szCs w:val="16"/>
          <w:lang w:val="en-US"/>
        </w:rPr>
        <w:t xml:space="preserve"> </w:t>
      </w:r>
    </w:p>
  </w:footnote>
  <w:footnote w:id="2">
    <w:p w:rsidR="004F0CEC" w:rsidRPr="007C7079" w:rsidRDefault="004F0CEC" w:rsidP="007C7079">
      <w:pPr>
        <w:pStyle w:val="FootnoteText"/>
        <w:rPr>
          <w:lang w:val="ro-RO"/>
        </w:rPr>
      </w:pPr>
      <w:r w:rsidRPr="007C7079">
        <w:rPr>
          <w:rStyle w:val="FootnoteReference"/>
          <w:lang w:val="ro-RO"/>
        </w:rPr>
        <w:footnoteRef/>
      </w:r>
      <w:r w:rsidRPr="007C7079">
        <w:rPr>
          <w:lang w:val="ro-RO"/>
        </w:rPr>
        <w:t xml:space="preserve"> </w:t>
      </w:r>
      <w:r w:rsidRPr="00616AAC">
        <w:rPr>
          <w:rFonts w:asciiTheme="majorHAnsi" w:hAnsiTheme="majorHAnsi"/>
          <w:sz w:val="16"/>
          <w:szCs w:val="16"/>
          <w:lang w:val="ro-RO"/>
        </w:rPr>
        <w:t>Idem</w:t>
      </w:r>
    </w:p>
  </w:footnote>
  <w:footnote w:id="3">
    <w:p w:rsidR="004F0CEC" w:rsidRPr="00CF133B" w:rsidRDefault="004F0CEC" w:rsidP="007C7079">
      <w:pPr>
        <w:pStyle w:val="FootnoteText"/>
        <w:rPr>
          <w:lang w:val="ro-RO"/>
        </w:rPr>
      </w:pPr>
      <w:r w:rsidRPr="007C7079">
        <w:rPr>
          <w:rStyle w:val="FootnoteReference"/>
          <w:lang w:val="ro-RO"/>
        </w:rPr>
        <w:footnoteRef/>
      </w:r>
      <w:r w:rsidRPr="007C7079">
        <w:rPr>
          <w:lang w:val="ro-RO"/>
        </w:rPr>
        <w:t xml:space="preserve"> </w:t>
      </w:r>
      <w:r w:rsidRPr="007C7079">
        <w:rPr>
          <w:rFonts w:asciiTheme="majorHAnsi" w:hAnsiTheme="majorHAnsi"/>
          <w:sz w:val="16"/>
          <w:szCs w:val="16"/>
          <w:lang w:val="ro-RO"/>
        </w:rPr>
        <w:t>Idem</w:t>
      </w:r>
    </w:p>
  </w:footnote>
  <w:footnote w:id="4">
    <w:p w:rsidR="004F0CEC" w:rsidRPr="005751CE" w:rsidRDefault="004F0CEC">
      <w:pPr>
        <w:pStyle w:val="FootnoteText"/>
        <w:rPr>
          <w:rFonts w:asciiTheme="majorHAnsi" w:hAnsiTheme="majorHAnsi"/>
          <w:sz w:val="16"/>
          <w:szCs w:val="16"/>
          <w:lang w:val="ro-RO"/>
        </w:rPr>
      </w:pPr>
      <w:r>
        <w:rPr>
          <w:rStyle w:val="FootnoteReference"/>
        </w:rPr>
        <w:footnoteRef/>
      </w:r>
      <w:r>
        <w:t xml:space="preserve"> </w:t>
      </w:r>
      <w:r w:rsidRPr="005751CE">
        <w:rPr>
          <w:rFonts w:asciiTheme="majorHAnsi" w:hAnsiTheme="majorHAnsi"/>
          <w:sz w:val="16"/>
          <w:szCs w:val="16"/>
          <w:lang w:val="ro-RO"/>
        </w:rPr>
        <w:t>Idem</w:t>
      </w:r>
    </w:p>
  </w:footnote>
  <w:footnote w:id="5">
    <w:p w:rsidR="004F0CEC" w:rsidRPr="005751CE" w:rsidRDefault="004F0CEC">
      <w:pPr>
        <w:pStyle w:val="FootnoteText"/>
        <w:rPr>
          <w:lang w:val="ro-RO"/>
        </w:rPr>
      </w:pPr>
      <w:r>
        <w:rPr>
          <w:rStyle w:val="FootnoteReference"/>
        </w:rPr>
        <w:footnoteRef/>
      </w:r>
      <w:r>
        <w:t xml:space="preserve"> </w:t>
      </w:r>
      <w:r w:rsidRPr="005751CE">
        <w:rPr>
          <w:rFonts w:asciiTheme="majorHAnsi" w:hAnsiTheme="majorHAnsi"/>
          <w:sz w:val="16"/>
          <w:szCs w:val="16"/>
          <w:lang w:val="ro-RO"/>
        </w:rPr>
        <w:t>Idem</w:t>
      </w:r>
    </w:p>
  </w:footnote>
  <w:footnote w:id="6">
    <w:p w:rsidR="004F0CEC" w:rsidRPr="00616AAC" w:rsidRDefault="004F0CEC" w:rsidP="00FA516C">
      <w:pPr>
        <w:pStyle w:val="FootnoteText"/>
        <w:rPr>
          <w:rFonts w:asciiTheme="majorHAnsi" w:hAnsiTheme="majorHAnsi"/>
          <w:sz w:val="16"/>
          <w:szCs w:val="16"/>
          <w:lang w:val="ro-RO"/>
        </w:rPr>
      </w:pPr>
      <w:r>
        <w:rPr>
          <w:rStyle w:val="FootnoteReference"/>
        </w:rPr>
        <w:footnoteRef/>
      </w:r>
      <w:r>
        <w:t xml:space="preserve"> </w:t>
      </w:r>
      <w:r w:rsidRPr="00616AAC">
        <w:rPr>
          <w:rFonts w:asciiTheme="majorHAnsi" w:hAnsiTheme="majorHAnsi"/>
          <w:sz w:val="16"/>
          <w:szCs w:val="16"/>
          <w:lang w:val="ro-RO"/>
        </w:rPr>
        <w:t>Idem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43F"/>
    <w:multiLevelType w:val="hybridMultilevel"/>
    <w:tmpl w:val="44BC6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DE3C73"/>
    <w:multiLevelType w:val="hybridMultilevel"/>
    <w:tmpl w:val="9C141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9B2FE0"/>
    <w:multiLevelType w:val="hybridMultilevel"/>
    <w:tmpl w:val="8AAC87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F07A4F"/>
    <w:multiLevelType w:val="hybridMultilevel"/>
    <w:tmpl w:val="DDAA46AE"/>
    <w:lvl w:ilvl="0" w:tplc="BC04688E">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9471FB"/>
    <w:multiLevelType w:val="hybridMultilevel"/>
    <w:tmpl w:val="9C141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295EA6"/>
    <w:multiLevelType w:val="hybridMultilevel"/>
    <w:tmpl w:val="8D1E347C"/>
    <w:lvl w:ilvl="0" w:tplc="BC04688E">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78B468C"/>
    <w:multiLevelType w:val="hybridMultilevel"/>
    <w:tmpl w:val="7DCA1BF0"/>
    <w:lvl w:ilvl="0" w:tplc="BC04688E">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1F6DEB"/>
    <w:multiLevelType w:val="hybridMultilevel"/>
    <w:tmpl w:val="5C489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94E4036"/>
    <w:multiLevelType w:val="hybridMultilevel"/>
    <w:tmpl w:val="383002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CA26E0"/>
    <w:multiLevelType w:val="hybridMultilevel"/>
    <w:tmpl w:val="4686D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694E22"/>
    <w:multiLevelType w:val="hybridMultilevel"/>
    <w:tmpl w:val="6C86E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A87BBE"/>
    <w:multiLevelType w:val="hybridMultilevel"/>
    <w:tmpl w:val="15D28948"/>
    <w:lvl w:ilvl="0" w:tplc="FF808846">
      <w:start w:val="1"/>
      <w:numFmt w:val="bullet"/>
      <w:lvlText w:val=""/>
      <w:lvlJc w:val="left"/>
      <w:pPr>
        <w:ind w:left="720" w:hanging="360"/>
      </w:pPr>
      <w:rPr>
        <w:rFonts w:ascii="Symbol" w:hAnsi="Symbol" w:hint="default"/>
        <w:lang w:val="fr-FR"/>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A643F09"/>
    <w:multiLevelType w:val="hybridMultilevel"/>
    <w:tmpl w:val="0B924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035EC5"/>
    <w:multiLevelType w:val="hybridMultilevel"/>
    <w:tmpl w:val="EB525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2A3E37"/>
    <w:multiLevelType w:val="hybridMultilevel"/>
    <w:tmpl w:val="2230E6A4"/>
    <w:lvl w:ilvl="0" w:tplc="BC04688E">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BA4455"/>
    <w:multiLevelType w:val="hybridMultilevel"/>
    <w:tmpl w:val="6616EE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264217"/>
    <w:multiLevelType w:val="hybridMultilevel"/>
    <w:tmpl w:val="5E067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403E80"/>
    <w:multiLevelType w:val="hybridMultilevel"/>
    <w:tmpl w:val="CA04AAA2"/>
    <w:lvl w:ilvl="0" w:tplc="7FB812B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693C4A"/>
    <w:multiLevelType w:val="hybridMultilevel"/>
    <w:tmpl w:val="27101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A62E67"/>
    <w:multiLevelType w:val="hybridMultilevel"/>
    <w:tmpl w:val="DF460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7F0779"/>
    <w:multiLevelType w:val="hybridMultilevel"/>
    <w:tmpl w:val="9C141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987224"/>
    <w:multiLevelType w:val="hybridMultilevel"/>
    <w:tmpl w:val="A1FA9E22"/>
    <w:lvl w:ilvl="0" w:tplc="04190017">
      <w:start w:val="9"/>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A831E7"/>
    <w:multiLevelType w:val="hybridMultilevel"/>
    <w:tmpl w:val="70D29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8D087E"/>
    <w:multiLevelType w:val="hybridMultilevel"/>
    <w:tmpl w:val="FCF25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5F14F7"/>
    <w:multiLevelType w:val="hybridMultilevel"/>
    <w:tmpl w:val="10AAAD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88639BD"/>
    <w:multiLevelType w:val="hybridMultilevel"/>
    <w:tmpl w:val="85F0CD34"/>
    <w:lvl w:ilvl="0" w:tplc="1E225A74">
      <w:start w:val="1"/>
      <w:numFmt w:val="decimal"/>
      <w:lvlText w:val="%1."/>
      <w:lvlJc w:val="left"/>
      <w:pPr>
        <w:ind w:left="720" w:hanging="360"/>
      </w:pPr>
      <w:rPr>
        <w:rFonts w:ascii="Calibri" w:hAnsi="Calibri" w:hint="default"/>
        <w:color w:val="000000" w:themeColor="text1"/>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1B3286B"/>
    <w:multiLevelType w:val="hybridMultilevel"/>
    <w:tmpl w:val="8FAC4DEA"/>
    <w:lvl w:ilvl="0" w:tplc="BC04688E">
      <w:numFmt w:val="bullet"/>
      <w:lvlText w:val="-"/>
      <w:lvlJc w:val="left"/>
      <w:pPr>
        <w:ind w:left="720" w:hanging="360"/>
      </w:pPr>
      <w:rPr>
        <w:rFonts w:ascii="Courier New" w:eastAsia="Times New Roman"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4E5CC2"/>
    <w:multiLevelType w:val="hybridMultilevel"/>
    <w:tmpl w:val="A4E68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5436E62"/>
    <w:multiLevelType w:val="hybridMultilevel"/>
    <w:tmpl w:val="3B3E321A"/>
    <w:lvl w:ilvl="0" w:tplc="E75E8BCA">
      <w:numFmt w:val="bullet"/>
      <w:lvlText w:val="-"/>
      <w:lvlJc w:val="left"/>
      <w:pPr>
        <w:ind w:left="644" w:hanging="360"/>
      </w:pPr>
      <w:rPr>
        <w:rFonts w:ascii="Times New Roman" w:eastAsia="Times New Roman" w:hAnsi="Times New Roman" w:hint="default"/>
      </w:rPr>
    </w:lvl>
    <w:lvl w:ilvl="1" w:tplc="5824DC16">
      <w:start w:val="1"/>
      <w:numFmt w:val="lowerRoman"/>
      <w:lvlText w:val="%2)"/>
      <w:lvlJc w:val="left"/>
      <w:pPr>
        <w:tabs>
          <w:tab w:val="num" w:pos="1080"/>
        </w:tabs>
        <w:ind w:left="1080" w:hanging="360"/>
      </w:pPr>
      <w:rPr>
        <w:rFonts w:hint="default"/>
        <w:b/>
        <w:i/>
        <w:u w:val="none"/>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9">
    <w:nsid w:val="7ADB6F14"/>
    <w:multiLevelType w:val="hybridMultilevel"/>
    <w:tmpl w:val="243C5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D381BEB"/>
    <w:multiLevelType w:val="hybridMultilevel"/>
    <w:tmpl w:val="1996F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6E26C6"/>
    <w:multiLevelType w:val="hybridMultilevel"/>
    <w:tmpl w:val="8238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5"/>
  </w:num>
  <w:num w:numId="4">
    <w:abstractNumId w:val="31"/>
  </w:num>
  <w:num w:numId="5">
    <w:abstractNumId w:val="8"/>
  </w:num>
  <w:num w:numId="6">
    <w:abstractNumId w:val="28"/>
  </w:num>
  <w:num w:numId="7">
    <w:abstractNumId w:val="17"/>
  </w:num>
  <w:num w:numId="8">
    <w:abstractNumId w:val="5"/>
  </w:num>
  <w:num w:numId="9">
    <w:abstractNumId w:val="21"/>
  </w:num>
  <w:num w:numId="10">
    <w:abstractNumId w:val="3"/>
  </w:num>
  <w:num w:numId="11">
    <w:abstractNumId w:val="26"/>
  </w:num>
  <w:num w:numId="12">
    <w:abstractNumId w:val="22"/>
  </w:num>
  <w:num w:numId="13">
    <w:abstractNumId w:val="10"/>
  </w:num>
  <w:num w:numId="14">
    <w:abstractNumId w:val="29"/>
  </w:num>
  <w:num w:numId="15">
    <w:abstractNumId w:val="16"/>
  </w:num>
  <w:num w:numId="16">
    <w:abstractNumId w:val="15"/>
  </w:num>
  <w:num w:numId="17">
    <w:abstractNumId w:val="19"/>
  </w:num>
  <w:num w:numId="18">
    <w:abstractNumId w:val="7"/>
  </w:num>
  <w:num w:numId="19">
    <w:abstractNumId w:val="6"/>
  </w:num>
  <w:num w:numId="20">
    <w:abstractNumId w:val="14"/>
  </w:num>
  <w:num w:numId="21">
    <w:abstractNumId w:val="23"/>
  </w:num>
  <w:num w:numId="22">
    <w:abstractNumId w:val="27"/>
  </w:num>
  <w:num w:numId="23">
    <w:abstractNumId w:val="12"/>
  </w:num>
  <w:num w:numId="24">
    <w:abstractNumId w:val="11"/>
  </w:num>
  <w:num w:numId="25">
    <w:abstractNumId w:val="9"/>
  </w:num>
  <w:num w:numId="26">
    <w:abstractNumId w:val="20"/>
  </w:num>
  <w:num w:numId="27">
    <w:abstractNumId w:val="1"/>
  </w:num>
  <w:num w:numId="28">
    <w:abstractNumId w:val="4"/>
  </w:num>
  <w:num w:numId="29">
    <w:abstractNumId w:val="18"/>
  </w:num>
  <w:num w:numId="30">
    <w:abstractNumId w:val="30"/>
  </w:num>
  <w:num w:numId="31">
    <w:abstractNumId w:val="2"/>
  </w:num>
  <w:num w:numId="3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grammar="clean"/>
  <w:defaultTabStop w:val="708"/>
  <w:drawingGridHorizontalSpacing w:val="110"/>
  <w:displayHorizontalDrawingGridEvery w:val="2"/>
  <w:characterSpacingControl w:val="doNotCompress"/>
  <w:hdrShapeDefaults>
    <o:shapedefaults v:ext="edit" spidmax="4097">
      <o:colormenu v:ext="edit" strokecolor="none [2415]"/>
    </o:shapedefaults>
  </w:hdrShapeDefaults>
  <w:footnotePr>
    <w:footnote w:id="-1"/>
    <w:footnote w:id="0"/>
  </w:footnotePr>
  <w:endnotePr>
    <w:endnote w:id="-1"/>
    <w:endnote w:id="0"/>
  </w:endnotePr>
  <w:compat/>
  <w:rsids>
    <w:rsidRoot w:val="005941C1"/>
    <w:rsid w:val="00002899"/>
    <w:rsid w:val="00016393"/>
    <w:rsid w:val="00020186"/>
    <w:rsid w:val="000304D9"/>
    <w:rsid w:val="000401A8"/>
    <w:rsid w:val="00064667"/>
    <w:rsid w:val="00091702"/>
    <w:rsid w:val="00096AB5"/>
    <w:rsid w:val="00097112"/>
    <w:rsid w:val="000A21CF"/>
    <w:rsid w:val="000A3085"/>
    <w:rsid w:val="000B050A"/>
    <w:rsid w:val="000B2A02"/>
    <w:rsid w:val="000C242F"/>
    <w:rsid w:val="000C255F"/>
    <w:rsid w:val="000C5B60"/>
    <w:rsid w:val="000D1C96"/>
    <w:rsid w:val="000D7B5C"/>
    <w:rsid w:val="000E04C9"/>
    <w:rsid w:val="000F1E87"/>
    <w:rsid w:val="000F37E2"/>
    <w:rsid w:val="00102BF8"/>
    <w:rsid w:val="001214FC"/>
    <w:rsid w:val="00130D4D"/>
    <w:rsid w:val="001378F0"/>
    <w:rsid w:val="00147F0B"/>
    <w:rsid w:val="00155E1C"/>
    <w:rsid w:val="00171EA1"/>
    <w:rsid w:val="00176D70"/>
    <w:rsid w:val="001871D6"/>
    <w:rsid w:val="00192B54"/>
    <w:rsid w:val="001967CB"/>
    <w:rsid w:val="001A4C7A"/>
    <w:rsid w:val="001B573E"/>
    <w:rsid w:val="001C4AFC"/>
    <w:rsid w:val="001D01F7"/>
    <w:rsid w:val="001F223D"/>
    <w:rsid w:val="001F70B3"/>
    <w:rsid w:val="001F7B56"/>
    <w:rsid w:val="0020233D"/>
    <w:rsid w:val="00203A09"/>
    <w:rsid w:val="0021675A"/>
    <w:rsid w:val="002213BF"/>
    <w:rsid w:val="00226B08"/>
    <w:rsid w:val="00233DDB"/>
    <w:rsid w:val="0024603A"/>
    <w:rsid w:val="00257904"/>
    <w:rsid w:val="00273892"/>
    <w:rsid w:val="00274E54"/>
    <w:rsid w:val="002754F7"/>
    <w:rsid w:val="002773F5"/>
    <w:rsid w:val="0028015C"/>
    <w:rsid w:val="00282F34"/>
    <w:rsid w:val="0028383D"/>
    <w:rsid w:val="002858FD"/>
    <w:rsid w:val="00285CD9"/>
    <w:rsid w:val="002867DF"/>
    <w:rsid w:val="002870B6"/>
    <w:rsid w:val="002971FC"/>
    <w:rsid w:val="002A6D54"/>
    <w:rsid w:val="002D626A"/>
    <w:rsid w:val="002E3E4E"/>
    <w:rsid w:val="002E4CCD"/>
    <w:rsid w:val="002F195B"/>
    <w:rsid w:val="003353F0"/>
    <w:rsid w:val="00342AB9"/>
    <w:rsid w:val="00343F61"/>
    <w:rsid w:val="00356392"/>
    <w:rsid w:val="003717C1"/>
    <w:rsid w:val="003A1A5C"/>
    <w:rsid w:val="003A2DA3"/>
    <w:rsid w:val="003A4142"/>
    <w:rsid w:val="003B4BA3"/>
    <w:rsid w:val="003B7447"/>
    <w:rsid w:val="003C214A"/>
    <w:rsid w:val="003D01D6"/>
    <w:rsid w:val="003D1D4C"/>
    <w:rsid w:val="003E29C7"/>
    <w:rsid w:val="003E445A"/>
    <w:rsid w:val="003F1725"/>
    <w:rsid w:val="003F58DF"/>
    <w:rsid w:val="00400170"/>
    <w:rsid w:val="004051A5"/>
    <w:rsid w:val="00415908"/>
    <w:rsid w:val="004316F0"/>
    <w:rsid w:val="0043529C"/>
    <w:rsid w:val="0043626D"/>
    <w:rsid w:val="004549D7"/>
    <w:rsid w:val="00456A46"/>
    <w:rsid w:val="004608B9"/>
    <w:rsid w:val="00470F43"/>
    <w:rsid w:val="00476107"/>
    <w:rsid w:val="004B259E"/>
    <w:rsid w:val="004B7879"/>
    <w:rsid w:val="004C058B"/>
    <w:rsid w:val="004D4898"/>
    <w:rsid w:val="004E7D79"/>
    <w:rsid w:val="004F0CEC"/>
    <w:rsid w:val="004F212E"/>
    <w:rsid w:val="004F5B80"/>
    <w:rsid w:val="00503E82"/>
    <w:rsid w:val="00504ABC"/>
    <w:rsid w:val="005117F9"/>
    <w:rsid w:val="00514278"/>
    <w:rsid w:val="00550167"/>
    <w:rsid w:val="0056423B"/>
    <w:rsid w:val="005710F8"/>
    <w:rsid w:val="005751CE"/>
    <w:rsid w:val="005753AD"/>
    <w:rsid w:val="00584A10"/>
    <w:rsid w:val="005941C1"/>
    <w:rsid w:val="00595B66"/>
    <w:rsid w:val="00596CDF"/>
    <w:rsid w:val="005A392D"/>
    <w:rsid w:val="005B1BF9"/>
    <w:rsid w:val="005D1AFE"/>
    <w:rsid w:val="005D5508"/>
    <w:rsid w:val="005E0CA4"/>
    <w:rsid w:val="005E1BF7"/>
    <w:rsid w:val="005F2C4D"/>
    <w:rsid w:val="005F7F0A"/>
    <w:rsid w:val="006108C0"/>
    <w:rsid w:val="00610DF6"/>
    <w:rsid w:val="0061131E"/>
    <w:rsid w:val="00616AAC"/>
    <w:rsid w:val="006259FB"/>
    <w:rsid w:val="0064146D"/>
    <w:rsid w:val="00663265"/>
    <w:rsid w:val="00672CED"/>
    <w:rsid w:val="00674671"/>
    <w:rsid w:val="006848CB"/>
    <w:rsid w:val="00690C7A"/>
    <w:rsid w:val="006A22A4"/>
    <w:rsid w:val="006A6AC8"/>
    <w:rsid w:val="006B4109"/>
    <w:rsid w:val="006E4D09"/>
    <w:rsid w:val="006F0DDC"/>
    <w:rsid w:val="0070508A"/>
    <w:rsid w:val="00710E75"/>
    <w:rsid w:val="007139C9"/>
    <w:rsid w:val="0071421B"/>
    <w:rsid w:val="00720A28"/>
    <w:rsid w:val="00725D35"/>
    <w:rsid w:val="007360CB"/>
    <w:rsid w:val="00737BAF"/>
    <w:rsid w:val="00743648"/>
    <w:rsid w:val="007515C1"/>
    <w:rsid w:val="00751B04"/>
    <w:rsid w:val="00751E9D"/>
    <w:rsid w:val="0075231E"/>
    <w:rsid w:val="00757817"/>
    <w:rsid w:val="00775942"/>
    <w:rsid w:val="007804FF"/>
    <w:rsid w:val="00783079"/>
    <w:rsid w:val="00785DA3"/>
    <w:rsid w:val="007920E9"/>
    <w:rsid w:val="007A7329"/>
    <w:rsid w:val="007B2BCC"/>
    <w:rsid w:val="007B7664"/>
    <w:rsid w:val="007C69BE"/>
    <w:rsid w:val="007C7079"/>
    <w:rsid w:val="007D0110"/>
    <w:rsid w:val="007D2A4F"/>
    <w:rsid w:val="007E38EA"/>
    <w:rsid w:val="00815BA1"/>
    <w:rsid w:val="00817683"/>
    <w:rsid w:val="008366CA"/>
    <w:rsid w:val="008372DF"/>
    <w:rsid w:val="00847C17"/>
    <w:rsid w:val="008504E9"/>
    <w:rsid w:val="00851FE5"/>
    <w:rsid w:val="0085304E"/>
    <w:rsid w:val="00861E8E"/>
    <w:rsid w:val="0087255A"/>
    <w:rsid w:val="008855CF"/>
    <w:rsid w:val="00885EB9"/>
    <w:rsid w:val="008921D0"/>
    <w:rsid w:val="008941B4"/>
    <w:rsid w:val="0089579F"/>
    <w:rsid w:val="008A1F04"/>
    <w:rsid w:val="008A3B8F"/>
    <w:rsid w:val="008A4392"/>
    <w:rsid w:val="008A4D03"/>
    <w:rsid w:val="008A7AE4"/>
    <w:rsid w:val="008B23AF"/>
    <w:rsid w:val="008C418B"/>
    <w:rsid w:val="008C439F"/>
    <w:rsid w:val="008D215C"/>
    <w:rsid w:val="008E402B"/>
    <w:rsid w:val="008E61C9"/>
    <w:rsid w:val="008F0256"/>
    <w:rsid w:val="008F2432"/>
    <w:rsid w:val="00902B7F"/>
    <w:rsid w:val="00906A27"/>
    <w:rsid w:val="00924695"/>
    <w:rsid w:val="00930BB3"/>
    <w:rsid w:val="00936994"/>
    <w:rsid w:val="0095264A"/>
    <w:rsid w:val="00954552"/>
    <w:rsid w:val="00957F31"/>
    <w:rsid w:val="009707F7"/>
    <w:rsid w:val="009707FF"/>
    <w:rsid w:val="00974493"/>
    <w:rsid w:val="00980223"/>
    <w:rsid w:val="00982A83"/>
    <w:rsid w:val="00985EBC"/>
    <w:rsid w:val="009937AC"/>
    <w:rsid w:val="009A3888"/>
    <w:rsid w:val="009B124A"/>
    <w:rsid w:val="009B2C67"/>
    <w:rsid w:val="009B72DB"/>
    <w:rsid w:val="009C1025"/>
    <w:rsid w:val="009C7D2E"/>
    <w:rsid w:val="009E0D9D"/>
    <w:rsid w:val="009E6232"/>
    <w:rsid w:val="009F139B"/>
    <w:rsid w:val="009F6C6A"/>
    <w:rsid w:val="00A05AAE"/>
    <w:rsid w:val="00A113E3"/>
    <w:rsid w:val="00A32197"/>
    <w:rsid w:val="00A33845"/>
    <w:rsid w:val="00A61192"/>
    <w:rsid w:val="00A674EC"/>
    <w:rsid w:val="00A7086B"/>
    <w:rsid w:val="00A80AFC"/>
    <w:rsid w:val="00A838C4"/>
    <w:rsid w:val="00A9363F"/>
    <w:rsid w:val="00A97E02"/>
    <w:rsid w:val="00AA0961"/>
    <w:rsid w:val="00AB192B"/>
    <w:rsid w:val="00AB7881"/>
    <w:rsid w:val="00AC0B5D"/>
    <w:rsid w:val="00AC61CB"/>
    <w:rsid w:val="00AC7CD4"/>
    <w:rsid w:val="00AD16EC"/>
    <w:rsid w:val="00AD1A0B"/>
    <w:rsid w:val="00AD408C"/>
    <w:rsid w:val="00AD6E56"/>
    <w:rsid w:val="00AE2EA9"/>
    <w:rsid w:val="00AE3FD4"/>
    <w:rsid w:val="00AE6DFC"/>
    <w:rsid w:val="00B00592"/>
    <w:rsid w:val="00B12102"/>
    <w:rsid w:val="00B2636F"/>
    <w:rsid w:val="00B273E5"/>
    <w:rsid w:val="00B30B0D"/>
    <w:rsid w:val="00B57AC5"/>
    <w:rsid w:val="00B6084B"/>
    <w:rsid w:val="00B64E01"/>
    <w:rsid w:val="00B651EC"/>
    <w:rsid w:val="00B6542D"/>
    <w:rsid w:val="00B654D6"/>
    <w:rsid w:val="00B831F3"/>
    <w:rsid w:val="00B84F74"/>
    <w:rsid w:val="00B8778D"/>
    <w:rsid w:val="00B92518"/>
    <w:rsid w:val="00B928B7"/>
    <w:rsid w:val="00B93329"/>
    <w:rsid w:val="00B958D6"/>
    <w:rsid w:val="00B97B4D"/>
    <w:rsid w:val="00BB4BC0"/>
    <w:rsid w:val="00BC2135"/>
    <w:rsid w:val="00BD0727"/>
    <w:rsid w:val="00BF26EB"/>
    <w:rsid w:val="00BF4F05"/>
    <w:rsid w:val="00C04858"/>
    <w:rsid w:val="00C07599"/>
    <w:rsid w:val="00C16AEA"/>
    <w:rsid w:val="00C16CDC"/>
    <w:rsid w:val="00C22752"/>
    <w:rsid w:val="00C22F0B"/>
    <w:rsid w:val="00C24D3E"/>
    <w:rsid w:val="00C2603D"/>
    <w:rsid w:val="00C267F6"/>
    <w:rsid w:val="00C35230"/>
    <w:rsid w:val="00C41566"/>
    <w:rsid w:val="00C5076D"/>
    <w:rsid w:val="00C63C3A"/>
    <w:rsid w:val="00C667DF"/>
    <w:rsid w:val="00C66FBA"/>
    <w:rsid w:val="00C72B44"/>
    <w:rsid w:val="00C7528B"/>
    <w:rsid w:val="00C828FC"/>
    <w:rsid w:val="00C91A5E"/>
    <w:rsid w:val="00C949CF"/>
    <w:rsid w:val="00C978B1"/>
    <w:rsid w:val="00CB6810"/>
    <w:rsid w:val="00CC25CD"/>
    <w:rsid w:val="00CC4638"/>
    <w:rsid w:val="00CD3AB5"/>
    <w:rsid w:val="00CD47D5"/>
    <w:rsid w:val="00CF0145"/>
    <w:rsid w:val="00CF133B"/>
    <w:rsid w:val="00D02F0E"/>
    <w:rsid w:val="00D049E6"/>
    <w:rsid w:val="00D05515"/>
    <w:rsid w:val="00D06CB4"/>
    <w:rsid w:val="00D11E04"/>
    <w:rsid w:val="00D164BF"/>
    <w:rsid w:val="00D2671F"/>
    <w:rsid w:val="00D33D32"/>
    <w:rsid w:val="00D609C9"/>
    <w:rsid w:val="00D669F3"/>
    <w:rsid w:val="00D674A9"/>
    <w:rsid w:val="00D71262"/>
    <w:rsid w:val="00D801C2"/>
    <w:rsid w:val="00D9500F"/>
    <w:rsid w:val="00DA6CE2"/>
    <w:rsid w:val="00DB2DE2"/>
    <w:rsid w:val="00DD139C"/>
    <w:rsid w:val="00DE40FC"/>
    <w:rsid w:val="00DE6E43"/>
    <w:rsid w:val="00DE7CA6"/>
    <w:rsid w:val="00DF3DFA"/>
    <w:rsid w:val="00DF4FFB"/>
    <w:rsid w:val="00E16E12"/>
    <w:rsid w:val="00E2077E"/>
    <w:rsid w:val="00E30818"/>
    <w:rsid w:val="00E347FA"/>
    <w:rsid w:val="00E407F7"/>
    <w:rsid w:val="00E42CCE"/>
    <w:rsid w:val="00E44881"/>
    <w:rsid w:val="00E45506"/>
    <w:rsid w:val="00E5587E"/>
    <w:rsid w:val="00E568ED"/>
    <w:rsid w:val="00E72C60"/>
    <w:rsid w:val="00E869A6"/>
    <w:rsid w:val="00E9217E"/>
    <w:rsid w:val="00E94DC7"/>
    <w:rsid w:val="00EA314B"/>
    <w:rsid w:val="00EB58F2"/>
    <w:rsid w:val="00EC15F7"/>
    <w:rsid w:val="00EC4C51"/>
    <w:rsid w:val="00EC7C4A"/>
    <w:rsid w:val="00EF2E6B"/>
    <w:rsid w:val="00EF7B8E"/>
    <w:rsid w:val="00F02C8C"/>
    <w:rsid w:val="00F16745"/>
    <w:rsid w:val="00F24337"/>
    <w:rsid w:val="00F33523"/>
    <w:rsid w:val="00F52EB2"/>
    <w:rsid w:val="00F56431"/>
    <w:rsid w:val="00F65FCB"/>
    <w:rsid w:val="00F71666"/>
    <w:rsid w:val="00F72E7A"/>
    <w:rsid w:val="00F80F08"/>
    <w:rsid w:val="00F85AA2"/>
    <w:rsid w:val="00F92A55"/>
    <w:rsid w:val="00F938F8"/>
    <w:rsid w:val="00F95006"/>
    <w:rsid w:val="00FA516C"/>
    <w:rsid w:val="00FD1E72"/>
    <w:rsid w:val="00FE6529"/>
    <w:rsid w:val="00FF1E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2415]"/>
    </o:shapedefaults>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6EC"/>
  </w:style>
  <w:style w:type="paragraph" w:styleId="Heading1">
    <w:name w:val="heading 1"/>
    <w:basedOn w:val="Normal"/>
    <w:next w:val="Normal"/>
    <w:link w:val="Heading1Char"/>
    <w:uiPriority w:val="9"/>
    <w:qFormat/>
    <w:rsid w:val="00985E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3F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91A5E"/>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8DF"/>
    <w:rPr>
      <w:rFonts w:ascii="Tahoma" w:hAnsi="Tahoma" w:cs="Tahoma"/>
      <w:sz w:val="16"/>
      <w:szCs w:val="16"/>
    </w:rPr>
  </w:style>
  <w:style w:type="character" w:customStyle="1" w:styleId="BalloonTextChar">
    <w:name w:val="Balloon Text Char"/>
    <w:basedOn w:val="DefaultParagraphFont"/>
    <w:link w:val="BalloonText"/>
    <w:uiPriority w:val="99"/>
    <w:semiHidden/>
    <w:rsid w:val="003F58DF"/>
    <w:rPr>
      <w:rFonts w:ascii="Tahoma" w:hAnsi="Tahoma" w:cs="Tahoma"/>
      <w:sz w:val="16"/>
      <w:szCs w:val="16"/>
    </w:rPr>
  </w:style>
  <w:style w:type="table" w:styleId="TableGrid">
    <w:name w:val="Table Grid"/>
    <w:basedOn w:val="TableNormal"/>
    <w:uiPriority w:val="59"/>
    <w:rsid w:val="00F52EB2"/>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52EB2"/>
    <w:rPr>
      <w:color w:val="0000FF"/>
      <w:u w:val="single"/>
    </w:rPr>
  </w:style>
  <w:style w:type="paragraph" w:styleId="ListParagraph">
    <w:name w:val="List Paragraph"/>
    <w:basedOn w:val="Normal"/>
    <w:uiPriority w:val="34"/>
    <w:qFormat/>
    <w:rsid w:val="00F52EB2"/>
    <w:pPr>
      <w:ind w:left="720"/>
      <w:contextualSpacing/>
      <w:jc w:val="left"/>
    </w:pPr>
    <w:rPr>
      <w:rFonts w:ascii="Times New Roman" w:eastAsia="Times New Roman" w:hAnsi="Times New Roman" w:cs="Times New Roman"/>
      <w:sz w:val="24"/>
      <w:szCs w:val="24"/>
      <w:lang w:val="sv-SE" w:eastAsia="sv-SE"/>
    </w:rPr>
  </w:style>
  <w:style w:type="paragraph" w:customStyle="1" w:styleId="1">
    <w:name w:val="Без интервала1"/>
    <w:qFormat/>
    <w:rsid w:val="00F52EB2"/>
    <w:pPr>
      <w:suppressAutoHyphens/>
      <w:jc w:val="left"/>
    </w:pPr>
    <w:rPr>
      <w:rFonts w:ascii="Calibri" w:eastAsia="Calibri" w:hAnsi="Calibri" w:cs="Times New Roman"/>
      <w:lang w:eastAsia="ar-SA"/>
    </w:rPr>
  </w:style>
  <w:style w:type="paragraph" w:styleId="NoSpacing">
    <w:name w:val="No Spacing"/>
    <w:link w:val="NoSpacingChar"/>
    <w:uiPriority w:val="1"/>
    <w:qFormat/>
    <w:rsid w:val="00AE2EA9"/>
    <w:pPr>
      <w:jc w:val="left"/>
    </w:pPr>
  </w:style>
  <w:style w:type="paragraph" w:styleId="FootnoteText">
    <w:name w:val="footnote text"/>
    <w:basedOn w:val="Normal"/>
    <w:link w:val="FootnoteTextChar"/>
    <w:uiPriority w:val="99"/>
    <w:semiHidden/>
    <w:unhideWhenUsed/>
    <w:rsid w:val="002A6D54"/>
    <w:rPr>
      <w:sz w:val="20"/>
      <w:szCs w:val="20"/>
    </w:rPr>
  </w:style>
  <w:style w:type="character" w:customStyle="1" w:styleId="FootnoteTextChar">
    <w:name w:val="Footnote Text Char"/>
    <w:basedOn w:val="DefaultParagraphFont"/>
    <w:link w:val="FootnoteText"/>
    <w:uiPriority w:val="99"/>
    <w:semiHidden/>
    <w:rsid w:val="002A6D54"/>
    <w:rPr>
      <w:sz w:val="20"/>
      <w:szCs w:val="20"/>
    </w:rPr>
  </w:style>
  <w:style w:type="character" w:styleId="FootnoteReference">
    <w:name w:val="footnote reference"/>
    <w:basedOn w:val="DefaultParagraphFont"/>
    <w:uiPriority w:val="99"/>
    <w:semiHidden/>
    <w:unhideWhenUsed/>
    <w:rsid w:val="002A6D54"/>
    <w:rPr>
      <w:vertAlign w:val="superscript"/>
    </w:rPr>
  </w:style>
  <w:style w:type="paragraph" w:customStyle="1" w:styleId="ListParagraph1">
    <w:name w:val="List Paragraph1"/>
    <w:basedOn w:val="Normal"/>
    <w:rsid w:val="007C69BE"/>
    <w:pPr>
      <w:spacing w:after="200" w:line="276" w:lineRule="auto"/>
      <w:ind w:left="720"/>
      <w:contextualSpacing/>
      <w:jc w:val="left"/>
    </w:pPr>
    <w:rPr>
      <w:rFonts w:ascii="Calibri" w:eastAsia="Times New Roman" w:hAnsi="Calibri" w:cs="Times New Roman"/>
      <w:lang w:val="ro-RO"/>
    </w:rPr>
  </w:style>
  <w:style w:type="paragraph" w:styleId="NormalWeb">
    <w:name w:val="Normal (Web)"/>
    <w:basedOn w:val="Normal"/>
    <w:uiPriority w:val="99"/>
    <w:rsid w:val="007C69BE"/>
    <w:pPr>
      <w:spacing w:before="100" w:beforeAutospacing="1" w:after="100" w:afterAutospacing="1"/>
      <w:jc w:val="left"/>
    </w:pPr>
    <w:rPr>
      <w:rFonts w:ascii="Times New Roman" w:eastAsia="Calibri" w:hAnsi="Times New Roman" w:cs="Times New Roman"/>
      <w:sz w:val="24"/>
      <w:szCs w:val="24"/>
      <w:lang w:eastAsia="ru-RU"/>
    </w:rPr>
  </w:style>
  <w:style w:type="paragraph" w:customStyle="1" w:styleId="md">
    <w:name w:val="md"/>
    <w:basedOn w:val="Normal"/>
    <w:rsid w:val="005E0CA4"/>
    <w:pPr>
      <w:ind w:firstLine="567"/>
    </w:pPr>
    <w:rPr>
      <w:rFonts w:ascii="Times New Roman" w:eastAsia="Times New Roman" w:hAnsi="Times New Roman" w:cs="Times New Roman"/>
      <w:i/>
      <w:iCs/>
      <w:color w:val="663300"/>
      <w:sz w:val="20"/>
      <w:szCs w:val="20"/>
      <w:lang w:eastAsia="ru-RU"/>
    </w:rPr>
  </w:style>
  <w:style w:type="paragraph" w:customStyle="1" w:styleId="tt">
    <w:name w:val="tt"/>
    <w:basedOn w:val="Normal"/>
    <w:rsid w:val="00815BA1"/>
    <w:pPr>
      <w:jc w:val="center"/>
    </w:pPr>
    <w:rPr>
      <w:rFonts w:ascii="Times New Roman" w:eastAsia="Times New Roman" w:hAnsi="Times New Roman" w:cs="Times New Roman"/>
      <w:b/>
      <w:bCs/>
      <w:sz w:val="24"/>
      <w:szCs w:val="24"/>
      <w:lang w:eastAsia="ru-RU"/>
    </w:rPr>
  </w:style>
  <w:style w:type="paragraph" w:customStyle="1" w:styleId="cn">
    <w:name w:val="cn"/>
    <w:basedOn w:val="Normal"/>
    <w:rsid w:val="00815BA1"/>
    <w:pPr>
      <w:jc w:val="center"/>
    </w:pPr>
    <w:rPr>
      <w:rFonts w:ascii="Times New Roman" w:eastAsia="Times New Roman" w:hAnsi="Times New Roman" w:cs="Times New Roman"/>
      <w:sz w:val="24"/>
      <w:szCs w:val="24"/>
      <w:lang w:eastAsia="ru-RU"/>
    </w:rPr>
  </w:style>
  <w:style w:type="paragraph" w:customStyle="1" w:styleId="cb">
    <w:name w:val="cb"/>
    <w:basedOn w:val="Normal"/>
    <w:rsid w:val="00815BA1"/>
    <w:pPr>
      <w:jc w:val="center"/>
    </w:pPr>
    <w:rPr>
      <w:rFonts w:ascii="Times New Roman" w:eastAsia="Times New Roman" w:hAnsi="Times New Roman" w:cs="Times New Roman"/>
      <w:b/>
      <w:bCs/>
      <w:sz w:val="24"/>
      <w:szCs w:val="24"/>
      <w:lang w:eastAsia="ru-RU"/>
    </w:rPr>
  </w:style>
  <w:style w:type="character" w:customStyle="1" w:styleId="Heading3Char">
    <w:name w:val="Heading 3 Char"/>
    <w:basedOn w:val="DefaultParagraphFont"/>
    <w:link w:val="Heading3"/>
    <w:uiPriority w:val="9"/>
    <w:rsid w:val="00C91A5E"/>
    <w:rPr>
      <w:rFonts w:ascii="Times New Roman" w:eastAsia="Times New Roman" w:hAnsi="Times New Roman" w:cs="Times New Roman"/>
      <w:b/>
      <w:bCs/>
      <w:sz w:val="27"/>
      <w:szCs w:val="27"/>
      <w:lang w:eastAsia="ru-RU"/>
    </w:rPr>
  </w:style>
  <w:style w:type="character" w:customStyle="1" w:styleId="NoSpacingChar">
    <w:name w:val="No Spacing Char"/>
    <w:basedOn w:val="DefaultParagraphFont"/>
    <w:link w:val="NoSpacing"/>
    <w:uiPriority w:val="1"/>
    <w:rsid w:val="003717C1"/>
  </w:style>
  <w:style w:type="paragraph" w:styleId="Header">
    <w:name w:val="header"/>
    <w:basedOn w:val="Normal"/>
    <w:link w:val="HeaderChar"/>
    <w:uiPriority w:val="99"/>
    <w:semiHidden/>
    <w:unhideWhenUsed/>
    <w:rsid w:val="00775942"/>
    <w:pPr>
      <w:tabs>
        <w:tab w:val="center" w:pos="4677"/>
        <w:tab w:val="right" w:pos="9355"/>
      </w:tabs>
    </w:pPr>
  </w:style>
  <w:style w:type="character" w:customStyle="1" w:styleId="HeaderChar">
    <w:name w:val="Header Char"/>
    <w:basedOn w:val="DefaultParagraphFont"/>
    <w:link w:val="Header"/>
    <w:uiPriority w:val="99"/>
    <w:semiHidden/>
    <w:rsid w:val="00775942"/>
  </w:style>
  <w:style w:type="paragraph" w:styleId="Footer">
    <w:name w:val="footer"/>
    <w:basedOn w:val="Normal"/>
    <w:link w:val="FooterChar"/>
    <w:uiPriority w:val="99"/>
    <w:unhideWhenUsed/>
    <w:rsid w:val="00775942"/>
    <w:pPr>
      <w:tabs>
        <w:tab w:val="center" w:pos="4677"/>
        <w:tab w:val="right" w:pos="9355"/>
      </w:tabs>
    </w:pPr>
  </w:style>
  <w:style w:type="character" w:customStyle="1" w:styleId="FooterChar">
    <w:name w:val="Footer Char"/>
    <w:basedOn w:val="DefaultParagraphFont"/>
    <w:link w:val="Footer"/>
    <w:uiPriority w:val="99"/>
    <w:rsid w:val="00775942"/>
  </w:style>
  <w:style w:type="character" w:customStyle="1" w:styleId="Heading1Char">
    <w:name w:val="Heading 1 Char"/>
    <w:basedOn w:val="DefaultParagraphFont"/>
    <w:link w:val="Heading1"/>
    <w:uiPriority w:val="9"/>
    <w:rsid w:val="00985EB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3F6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343F61"/>
  </w:style>
  <w:style w:type="paragraph" w:styleId="TOCHeading">
    <w:name w:val="TOC Heading"/>
    <w:basedOn w:val="Heading1"/>
    <w:next w:val="Normal"/>
    <w:uiPriority w:val="39"/>
    <w:unhideWhenUsed/>
    <w:qFormat/>
    <w:rsid w:val="004316F0"/>
    <w:pPr>
      <w:spacing w:line="276" w:lineRule="auto"/>
      <w:jc w:val="left"/>
      <w:outlineLvl w:val="9"/>
    </w:pPr>
  </w:style>
  <w:style w:type="paragraph" w:styleId="TOC1">
    <w:name w:val="toc 1"/>
    <w:basedOn w:val="Normal"/>
    <w:next w:val="Normal"/>
    <w:autoRedefine/>
    <w:uiPriority w:val="39"/>
    <w:unhideWhenUsed/>
    <w:qFormat/>
    <w:rsid w:val="004316F0"/>
    <w:pPr>
      <w:spacing w:after="100"/>
    </w:pPr>
  </w:style>
  <w:style w:type="character" w:styleId="Strong">
    <w:name w:val="Strong"/>
    <w:basedOn w:val="DefaultParagraphFont"/>
    <w:uiPriority w:val="22"/>
    <w:qFormat/>
    <w:rsid w:val="00FA516C"/>
    <w:rPr>
      <w:b/>
      <w:bCs/>
    </w:rPr>
  </w:style>
  <w:style w:type="character" w:customStyle="1" w:styleId="def">
    <w:name w:val="def"/>
    <w:basedOn w:val="DefaultParagraphFont"/>
    <w:rsid w:val="00FA516C"/>
  </w:style>
  <w:style w:type="paragraph" w:styleId="TOC3">
    <w:name w:val="toc 3"/>
    <w:basedOn w:val="Normal"/>
    <w:next w:val="Normal"/>
    <w:autoRedefine/>
    <w:uiPriority w:val="39"/>
    <w:unhideWhenUsed/>
    <w:qFormat/>
    <w:rsid w:val="007139C9"/>
    <w:pPr>
      <w:spacing w:after="100"/>
      <w:ind w:left="440"/>
    </w:pPr>
  </w:style>
  <w:style w:type="paragraph" w:styleId="TOC2">
    <w:name w:val="toc 2"/>
    <w:basedOn w:val="Normal"/>
    <w:next w:val="Normal"/>
    <w:autoRedefine/>
    <w:uiPriority w:val="39"/>
    <w:semiHidden/>
    <w:unhideWhenUsed/>
    <w:qFormat/>
    <w:rsid w:val="007139C9"/>
    <w:pPr>
      <w:spacing w:after="100" w:line="276" w:lineRule="auto"/>
      <w:ind w:left="220"/>
      <w:jc w:val="left"/>
    </w:pPr>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2320620">
      <w:bodyDiv w:val="1"/>
      <w:marLeft w:val="0"/>
      <w:marRight w:val="0"/>
      <w:marTop w:val="0"/>
      <w:marBottom w:val="0"/>
      <w:divBdr>
        <w:top w:val="none" w:sz="0" w:space="0" w:color="auto"/>
        <w:left w:val="none" w:sz="0" w:space="0" w:color="auto"/>
        <w:bottom w:val="none" w:sz="0" w:space="0" w:color="auto"/>
        <w:right w:val="none" w:sz="0" w:space="0" w:color="auto"/>
      </w:divBdr>
    </w:div>
    <w:div w:id="27992226">
      <w:bodyDiv w:val="1"/>
      <w:marLeft w:val="0"/>
      <w:marRight w:val="0"/>
      <w:marTop w:val="0"/>
      <w:marBottom w:val="0"/>
      <w:divBdr>
        <w:top w:val="none" w:sz="0" w:space="0" w:color="auto"/>
        <w:left w:val="none" w:sz="0" w:space="0" w:color="auto"/>
        <w:bottom w:val="none" w:sz="0" w:space="0" w:color="auto"/>
        <w:right w:val="none" w:sz="0" w:space="0" w:color="auto"/>
      </w:divBdr>
    </w:div>
    <w:div w:id="115026081">
      <w:bodyDiv w:val="1"/>
      <w:marLeft w:val="0"/>
      <w:marRight w:val="0"/>
      <w:marTop w:val="0"/>
      <w:marBottom w:val="0"/>
      <w:divBdr>
        <w:top w:val="none" w:sz="0" w:space="0" w:color="auto"/>
        <w:left w:val="none" w:sz="0" w:space="0" w:color="auto"/>
        <w:bottom w:val="none" w:sz="0" w:space="0" w:color="auto"/>
        <w:right w:val="none" w:sz="0" w:space="0" w:color="auto"/>
      </w:divBdr>
    </w:div>
    <w:div w:id="176505856">
      <w:bodyDiv w:val="1"/>
      <w:marLeft w:val="0"/>
      <w:marRight w:val="0"/>
      <w:marTop w:val="0"/>
      <w:marBottom w:val="0"/>
      <w:divBdr>
        <w:top w:val="none" w:sz="0" w:space="0" w:color="auto"/>
        <w:left w:val="none" w:sz="0" w:space="0" w:color="auto"/>
        <w:bottom w:val="none" w:sz="0" w:space="0" w:color="auto"/>
        <w:right w:val="none" w:sz="0" w:space="0" w:color="auto"/>
      </w:divBdr>
    </w:div>
    <w:div w:id="203636214">
      <w:bodyDiv w:val="1"/>
      <w:marLeft w:val="0"/>
      <w:marRight w:val="0"/>
      <w:marTop w:val="0"/>
      <w:marBottom w:val="0"/>
      <w:divBdr>
        <w:top w:val="none" w:sz="0" w:space="0" w:color="auto"/>
        <w:left w:val="none" w:sz="0" w:space="0" w:color="auto"/>
        <w:bottom w:val="none" w:sz="0" w:space="0" w:color="auto"/>
        <w:right w:val="none" w:sz="0" w:space="0" w:color="auto"/>
      </w:divBdr>
    </w:div>
    <w:div w:id="383870870">
      <w:bodyDiv w:val="1"/>
      <w:marLeft w:val="0"/>
      <w:marRight w:val="0"/>
      <w:marTop w:val="0"/>
      <w:marBottom w:val="0"/>
      <w:divBdr>
        <w:top w:val="none" w:sz="0" w:space="0" w:color="auto"/>
        <w:left w:val="none" w:sz="0" w:space="0" w:color="auto"/>
        <w:bottom w:val="none" w:sz="0" w:space="0" w:color="auto"/>
        <w:right w:val="none" w:sz="0" w:space="0" w:color="auto"/>
      </w:divBdr>
    </w:div>
    <w:div w:id="444496476">
      <w:bodyDiv w:val="1"/>
      <w:marLeft w:val="0"/>
      <w:marRight w:val="0"/>
      <w:marTop w:val="0"/>
      <w:marBottom w:val="0"/>
      <w:divBdr>
        <w:top w:val="none" w:sz="0" w:space="0" w:color="auto"/>
        <w:left w:val="none" w:sz="0" w:space="0" w:color="auto"/>
        <w:bottom w:val="none" w:sz="0" w:space="0" w:color="auto"/>
        <w:right w:val="none" w:sz="0" w:space="0" w:color="auto"/>
      </w:divBdr>
    </w:div>
    <w:div w:id="463698486">
      <w:bodyDiv w:val="1"/>
      <w:marLeft w:val="0"/>
      <w:marRight w:val="0"/>
      <w:marTop w:val="0"/>
      <w:marBottom w:val="0"/>
      <w:divBdr>
        <w:top w:val="none" w:sz="0" w:space="0" w:color="auto"/>
        <w:left w:val="none" w:sz="0" w:space="0" w:color="auto"/>
        <w:bottom w:val="none" w:sz="0" w:space="0" w:color="auto"/>
        <w:right w:val="none" w:sz="0" w:space="0" w:color="auto"/>
      </w:divBdr>
    </w:div>
    <w:div w:id="630400962">
      <w:bodyDiv w:val="1"/>
      <w:marLeft w:val="0"/>
      <w:marRight w:val="0"/>
      <w:marTop w:val="0"/>
      <w:marBottom w:val="0"/>
      <w:divBdr>
        <w:top w:val="none" w:sz="0" w:space="0" w:color="auto"/>
        <w:left w:val="none" w:sz="0" w:space="0" w:color="auto"/>
        <w:bottom w:val="none" w:sz="0" w:space="0" w:color="auto"/>
        <w:right w:val="none" w:sz="0" w:space="0" w:color="auto"/>
      </w:divBdr>
    </w:div>
    <w:div w:id="837964856">
      <w:bodyDiv w:val="1"/>
      <w:marLeft w:val="0"/>
      <w:marRight w:val="0"/>
      <w:marTop w:val="0"/>
      <w:marBottom w:val="0"/>
      <w:divBdr>
        <w:top w:val="none" w:sz="0" w:space="0" w:color="auto"/>
        <w:left w:val="none" w:sz="0" w:space="0" w:color="auto"/>
        <w:bottom w:val="none" w:sz="0" w:space="0" w:color="auto"/>
        <w:right w:val="none" w:sz="0" w:space="0" w:color="auto"/>
      </w:divBdr>
    </w:div>
    <w:div w:id="1102460528">
      <w:bodyDiv w:val="1"/>
      <w:marLeft w:val="0"/>
      <w:marRight w:val="0"/>
      <w:marTop w:val="0"/>
      <w:marBottom w:val="0"/>
      <w:divBdr>
        <w:top w:val="none" w:sz="0" w:space="0" w:color="auto"/>
        <w:left w:val="none" w:sz="0" w:space="0" w:color="auto"/>
        <w:bottom w:val="none" w:sz="0" w:space="0" w:color="auto"/>
        <w:right w:val="none" w:sz="0" w:space="0" w:color="auto"/>
      </w:divBdr>
    </w:div>
    <w:div w:id="1103525865">
      <w:bodyDiv w:val="1"/>
      <w:marLeft w:val="0"/>
      <w:marRight w:val="0"/>
      <w:marTop w:val="0"/>
      <w:marBottom w:val="0"/>
      <w:divBdr>
        <w:top w:val="none" w:sz="0" w:space="0" w:color="auto"/>
        <w:left w:val="none" w:sz="0" w:space="0" w:color="auto"/>
        <w:bottom w:val="none" w:sz="0" w:space="0" w:color="auto"/>
        <w:right w:val="none" w:sz="0" w:space="0" w:color="auto"/>
      </w:divBdr>
    </w:div>
    <w:div w:id="1127119306">
      <w:bodyDiv w:val="1"/>
      <w:marLeft w:val="0"/>
      <w:marRight w:val="0"/>
      <w:marTop w:val="0"/>
      <w:marBottom w:val="0"/>
      <w:divBdr>
        <w:top w:val="none" w:sz="0" w:space="0" w:color="auto"/>
        <w:left w:val="none" w:sz="0" w:space="0" w:color="auto"/>
        <w:bottom w:val="none" w:sz="0" w:space="0" w:color="auto"/>
        <w:right w:val="none" w:sz="0" w:space="0" w:color="auto"/>
      </w:divBdr>
    </w:div>
    <w:div w:id="1300190485">
      <w:bodyDiv w:val="1"/>
      <w:marLeft w:val="0"/>
      <w:marRight w:val="0"/>
      <w:marTop w:val="0"/>
      <w:marBottom w:val="0"/>
      <w:divBdr>
        <w:top w:val="none" w:sz="0" w:space="0" w:color="auto"/>
        <w:left w:val="none" w:sz="0" w:space="0" w:color="auto"/>
        <w:bottom w:val="none" w:sz="0" w:space="0" w:color="auto"/>
        <w:right w:val="none" w:sz="0" w:space="0" w:color="auto"/>
      </w:divBdr>
    </w:div>
    <w:div w:id="1324625797">
      <w:bodyDiv w:val="1"/>
      <w:marLeft w:val="0"/>
      <w:marRight w:val="0"/>
      <w:marTop w:val="0"/>
      <w:marBottom w:val="0"/>
      <w:divBdr>
        <w:top w:val="none" w:sz="0" w:space="0" w:color="auto"/>
        <w:left w:val="none" w:sz="0" w:space="0" w:color="auto"/>
        <w:bottom w:val="none" w:sz="0" w:space="0" w:color="auto"/>
        <w:right w:val="none" w:sz="0" w:space="0" w:color="auto"/>
      </w:divBdr>
    </w:div>
    <w:div w:id="1406952210">
      <w:bodyDiv w:val="1"/>
      <w:marLeft w:val="0"/>
      <w:marRight w:val="0"/>
      <w:marTop w:val="0"/>
      <w:marBottom w:val="0"/>
      <w:divBdr>
        <w:top w:val="none" w:sz="0" w:space="0" w:color="auto"/>
        <w:left w:val="none" w:sz="0" w:space="0" w:color="auto"/>
        <w:bottom w:val="none" w:sz="0" w:space="0" w:color="auto"/>
        <w:right w:val="none" w:sz="0" w:space="0" w:color="auto"/>
      </w:divBdr>
    </w:div>
    <w:div w:id="1476606105">
      <w:bodyDiv w:val="1"/>
      <w:marLeft w:val="0"/>
      <w:marRight w:val="0"/>
      <w:marTop w:val="0"/>
      <w:marBottom w:val="0"/>
      <w:divBdr>
        <w:top w:val="none" w:sz="0" w:space="0" w:color="auto"/>
        <w:left w:val="none" w:sz="0" w:space="0" w:color="auto"/>
        <w:bottom w:val="none" w:sz="0" w:space="0" w:color="auto"/>
        <w:right w:val="none" w:sz="0" w:space="0" w:color="auto"/>
      </w:divBdr>
    </w:div>
    <w:div w:id="1512377045">
      <w:bodyDiv w:val="1"/>
      <w:marLeft w:val="0"/>
      <w:marRight w:val="0"/>
      <w:marTop w:val="0"/>
      <w:marBottom w:val="0"/>
      <w:divBdr>
        <w:top w:val="none" w:sz="0" w:space="0" w:color="auto"/>
        <w:left w:val="none" w:sz="0" w:space="0" w:color="auto"/>
        <w:bottom w:val="none" w:sz="0" w:space="0" w:color="auto"/>
        <w:right w:val="none" w:sz="0" w:space="0" w:color="auto"/>
      </w:divBdr>
    </w:div>
    <w:div w:id="1538397227">
      <w:bodyDiv w:val="1"/>
      <w:marLeft w:val="0"/>
      <w:marRight w:val="0"/>
      <w:marTop w:val="0"/>
      <w:marBottom w:val="0"/>
      <w:divBdr>
        <w:top w:val="none" w:sz="0" w:space="0" w:color="auto"/>
        <w:left w:val="none" w:sz="0" w:space="0" w:color="auto"/>
        <w:bottom w:val="none" w:sz="0" w:space="0" w:color="auto"/>
        <w:right w:val="none" w:sz="0" w:space="0" w:color="auto"/>
      </w:divBdr>
    </w:div>
    <w:div w:id="1659189035">
      <w:bodyDiv w:val="1"/>
      <w:marLeft w:val="0"/>
      <w:marRight w:val="0"/>
      <w:marTop w:val="0"/>
      <w:marBottom w:val="0"/>
      <w:divBdr>
        <w:top w:val="none" w:sz="0" w:space="0" w:color="auto"/>
        <w:left w:val="none" w:sz="0" w:space="0" w:color="auto"/>
        <w:bottom w:val="none" w:sz="0" w:space="0" w:color="auto"/>
        <w:right w:val="none" w:sz="0" w:space="0" w:color="auto"/>
      </w:divBdr>
    </w:div>
    <w:div w:id="1673143050">
      <w:bodyDiv w:val="1"/>
      <w:marLeft w:val="0"/>
      <w:marRight w:val="0"/>
      <w:marTop w:val="0"/>
      <w:marBottom w:val="0"/>
      <w:divBdr>
        <w:top w:val="none" w:sz="0" w:space="0" w:color="auto"/>
        <w:left w:val="none" w:sz="0" w:space="0" w:color="auto"/>
        <w:bottom w:val="none" w:sz="0" w:space="0" w:color="auto"/>
        <w:right w:val="none" w:sz="0" w:space="0" w:color="auto"/>
      </w:divBdr>
    </w:div>
    <w:div w:id="1687629478">
      <w:bodyDiv w:val="1"/>
      <w:marLeft w:val="0"/>
      <w:marRight w:val="0"/>
      <w:marTop w:val="0"/>
      <w:marBottom w:val="0"/>
      <w:divBdr>
        <w:top w:val="none" w:sz="0" w:space="0" w:color="auto"/>
        <w:left w:val="none" w:sz="0" w:space="0" w:color="auto"/>
        <w:bottom w:val="none" w:sz="0" w:space="0" w:color="auto"/>
        <w:right w:val="none" w:sz="0" w:space="0" w:color="auto"/>
      </w:divBdr>
    </w:div>
    <w:div w:id="1747876044">
      <w:bodyDiv w:val="1"/>
      <w:marLeft w:val="0"/>
      <w:marRight w:val="0"/>
      <w:marTop w:val="0"/>
      <w:marBottom w:val="0"/>
      <w:divBdr>
        <w:top w:val="none" w:sz="0" w:space="0" w:color="auto"/>
        <w:left w:val="none" w:sz="0" w:space="0" w:color="auto"/>
        <w:bottom w:val="none" w:sz="0" w:space="0" w:color="auto"/>
        <w:right w:val="none" w:sz="0" w:space="0" w:color="auto"/>
      </w:divBdr>
    </w:div>
    <w:div w:id="1901089815">
      <w:bodyDiv w:val="1"/>
      <w:marLeft w:val="0"/>
      <w:marRight w:val="0"/>
      <w:marTop w:val="0"/>
      <w:marBottom w:val="0"/>
      <w:divBdr>
        <w:top w:val="none" w:sz="0" w:space="0" w:color="auto"/>
        <w:left w:val="none" w:sz="0" w:space="0" w:color="auto"/>
        <w:bottom w:val="none" w:sz="0" w:space="0" w:color="auto"/>
        <w:right w:val="none" w:sz="0" w:space="0" w:color="auto"/>
      </w:divBdr>
    </w:div>
    <w:div w:id="1920166888">
      <w:bodyDiv w:val="1"/>
      <w:marLeft w:val="0"/>
      <w:marRight w:val="0"/>
      <w:marTop w:val="0"/>
      <w:marBottom w:val="0"/>
      <w:divBdr>
        <w:top w:val="none" w:sz="0" w:space="0" w:color="auto"/>
        <w:left w:val="none" w:sz="0" w:space="0" w:color="auto"/>
        <w:bottom w:val="none" w:sz="0" w:space="0" w:color="auto"/>
        <w:right w:val="none" w:sz="0" w:space="0" w:color="auto"/>
      </w:divBdr>
    </w:div>
    <w:div w:id="2000890465">
      <w:bodyDiv w:val="1"/>
      <w:marLeft w:val="0"/>
      <w:marRight w:val="0"/>
      <w:marTop w:val="0"/>
      <w:marBottom w:val="0"/>
      <w:divBdr>
        <w:top w:val="none" w:sz="0" w:space="0" w:color="auto"/>
        <w:left w:val="none" w:sz="0" w:space="0" w:color="auto"/>
        <w:bottom w:val="none" w:sz="0" w:space="0" w:color="auto"/>
        <w:right w:val="none" w:sz="0" w:space="0" w:color="auto"/>
      </w:divBdr>
    </w:div>
    <w:div w:id="2017883380">
      <w:bodyDiv w:val="1"/>
      <w:marLeft w:val="0"/>
      <w:marRight w:val="0"/>
      <w:marTop w:val="0"/>
      <w:marBottom w:val="0"/>
      <w:divBdr>
        <w:top w:val="none" w:sz="0" w:space="0" w:color="auto"/>
        <w:left w:val="none" w:sz="0" w:space="0" w:color="auto"/>
        <w:bottom w:val="none" w:sz="0" w:space="0" w:color="auto"/>
        <w:right w:val="none" w:sz="0" w:space="0" w:color="auto"/>
      </w:divBdr>
    </w:div>
    <w:div w:id="2120905682">
      <w:bodyDiv w:val="1"/>
      <w:marLeft w:val="0"/>
      <w:marRight w:val="0"/>
      <w:marTop w:val="0"/>
      <w:marBottom w:val="0"/>
      <w:divBdr>
        <w:top w:val="none" w:sz="0" w:space="0" w:color="auto"/>
        <w:left w:val="none" w:sz="0" w:space="0" w:color="auto"/>
        <w:bottom w:val="none" w:sz="0" w:space="0" w:color="auto"/>
        <w:right w:val="none" w:sz="0" w:space="0" w:color="auto"/>
      </w:divBdr>
    </w:div>
    <w:div w:id="21385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hyperlink" Target="http://parlament.md/ProcesulLegislativ/Proiectedeactelegislative/tabid/61/LegislativId/2367/language/ro-RO/Default.aspx" TargetMode="Externa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footnotes" Target="footnotes.xml"/><Relationship Id="rId12" Type="http://schemas.openxmlformats.org/officeDocument/2006/relationships/hyperlink" Target="http://gender.capc.md/" TargetMode="External"/><Relationship Id="rId17" Type="http://schemas.openxmlformats.org/officeDocument/2006/relationships/chart" Target="charts/chart5.xml"/><Relationship Id="rId25" Type="http://schemas.openxmlformats.org/officeDocument/2006/relationships/hyperlink" Target="http://parlament.md/ProcesulLegislativ/Proiectedeactelegislative/tabid/61/LegislativId/2118/language/ro-RO/Default.aspx"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yperlink" Target="http://parlament.md/ProcesulLegislativ/Proiectedeactelegislative/tabid/61/LegislativId/2476/language/ro-RO/Default.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ament.md" TargetMode="Externa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http://parlament.md/ProcesulLegislativ/Proiectedeactelegislative/tabid/61/LegislativId/2490/language/ro-RO/Default.aspx" TargetMode="External"/><Relationship Id="rId28" Type="http://schemas.openxmlformats.org/officeDocument/2006/relationships/hyperlink" Target="http://parlament.md/ProcesulLegislativ/Proiectedeactelegislative/tabid/61/LegislativId/2095/language/ro-RO/Default.aspx" TargetMode="External"/><Relationship Id="rId10" Type="http://schemas.openxmlformats.org/officeDocument/2006/relationships/image" Target="media/image2.png"/><Relationship Id="rId19" Type="http://schemas.openxmlformats.org/officeDocument/2006/relationships/chart" Target="charts/chart7.xml"/><Relationship Id="rId31"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chart" Target="charts/chart2.xml"/><Relationship Id="rId22" Type="http://schemas.openxmlformats.org/officeDocument/2006/relationships/hyperlink" Target="http://parlament.md/ProcesulLegislativ/Proiectedeactelegislative/tabid/61/LegislativId/2095/language/ro-RO/Default.aspx" TargetMode="External"/><Relationship Id="rId27" Type="http://schemas.openxmlformats.org/officeDocument/2006/relationships/hyperlink" Target="http://parlament.md/ProcesulLegislativ/Proiectedeactelegislative/tabid/61/LegislativId/2285/language/ro-RO/Default.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apc.m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apc-bd\install%20lilia\Materiale%20Studiu%20Experza%20DO%202014\Book2.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8.6658659193025148E-4"/>
          <c:y val="6.7658585687541739E-2"/>
          <c:w val="0.96626232968952841"/>
          <c:h val="0.64615019896706449"/>
        </c:manualLayout>
      </c:layout>
      <c:pie3DChart>
        <c:varyColors val="1"/>
        <c:ser>
          <c:idx val="0"/>
          <c:order val="0"/>
          <c:explosion val="25"/>
          <c:dLbls>
            <c:showVal val="1"/>
            <c:showLeaderLines val="1"/>
          </c:dLbls>
          <c:cat>
            <c:strRef>
              <c:f>Sheet3!$B$2:$B$6</c:f>
              <c:strCache>
                <c:ptCount val="5"/>
                <c:pt idx="0">
                  <c:v>I. Justiţie şi afaceri interne, drepturile şi libertăţile omului </c:v>
                </c:pt>
                <c:pt idx="1">
                  <c:v>II. Economie şi comerţ </c:v>
                </c:pt>
                <c:pt idx="2">
                  <c:v>III. Buget şi finanţe </c:v>
                </c:pt>
                <c:pt idx="3">
                  <c:v>IV. Educaţie, cultură, culte şi mass-media </c:v>
                </c:pt>
                <c:pt idx="4">
                  <c:v>V. Legislaţia muncii, asigurarea socială şi ocrotirea sănătăţii </c:v>
                </c:pt>
              </c:strCache>
            </c:strRef>
          </c:cat>
          <c:val>
            <c:numRef>
              <c:f>Sheet3!$C$2:$C$6</c:f>
              <c:numCache>
                <c:formatCode>0.00%</c:formatCode>
                <c:ptCount val="5"/>
                <c:pt idx="0">
                  <c:v>0.4667</c:v>
                </c:pt>
                <c:pt idx="1">
                  <c:v>0.14670000000000041</c:v>
                </c:pt>
                <c:pt idx="2" formatCode="0%">
                  <c:v>8.0000000000000224E-2</c:v>
                </c:pt>
                <c:pt idx="3" formatCode="0%">
                  <c:v>8.0000000000000224E-2</c:v>
                </c:pt>
                <c:pt idx="4">
                  <c:v>0.22670000000000057</c:v>
                </c:pt>
              </c:numCache>
            </c:numRef>
          </c:val>
        </c:ser>
      </c:pie3DChart>
      <c:spPr>
        <a:effectLst>
          <a:innerShdw blurRad="63500" dist="50800" dir="13500000">
            <a:prstClr val="black">
              <a:alpha val="50000"/>
            </a:prstClr>
          </a:innerShdw>
        </a:effectLst>
      </c:spPr>
    </c:plotArea>
    <c:legend>
      <c:legendPos val="b"/>
      <c:layout>
        <c:manualLayout>
          <c:xMode val="edge"/>
          <c:yMode val="edge"/>
          <c:x val="3.3444560688655325E-2"/>
          <c:y val="0.74200849239395172"/>
          <c:w val="0.91679367876218265"/>
          <c:h val="0.24053950062524906"/>
        </c:manualLayout>
      </c:layout>
      <c:txPr>
        <a:bodyPr/>
        <a:lstStyle/>
        <a:p>
          <a:pPr>
            <a:defRPr sz="800" b="0">
              <a:latin typeface="Arial Narrow" pitchFamily="34" charset="0"/>
              <a:cs typeface="Arial" pitchFamily="34" charset="0"/>
            </a:defRPr>
          </a:pPr>
          <a:endParaRPr lang="ru-RU"/>
        </a:p>
      </c:txPr>
    </c:legend>
    <c:plotVisOnly val="1"/>
  </c:chart>
  <c:spPr>
    <a:ln>
      <a:solidFill>
        <a:schemeClr val="tx1"/>
      </a:solidFill>
    </a:ln>
    <a:effectLst>
      <a:outerShdw blurRad="50800" dist="38100" dir="10800000" algn="r"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spPr>
            <a:effectLst>
              <a:outerShdw blurRad="50800" dist="38100" dir="10800000" algn="r" rotWithShape="0">
                <a:schemeClr val="tx1">
                  <a:alpha val="40000"/>
                </a:schemeClr>
              </a:outerShdw>
            </a:effectLst>
          </c:spPr>
          <c:explosion val="39"/>
          <c:dPt>
            <c:idx val="2"/>
            <c:explosion val="35"/>
          </c:dPt>
          <c:dLbls>
            <c:dLbl>
              <c:idx val="1"/>
              <c:layout>
                <c:manualLayout>
                  <c:x val="9.0284528957936747E-3"/>
                  <c:y val="-8.1295115888291733E-2"/>
                </c:manualLayout>
              </c:layout>
              <c:showVal val="1"/>
            </c:dLbl>
            <c:txPr>
              <a:bodyPr/>
              <a:lstStyle/>
              <a:p>
                <a:pPr>
                  <a:defRPr b="1"/>
                </a:pPr>
                <a:endParaRPr lang="ru-RU"/>
              </a:p>
            </c:txPr>
            <c:showVal val="1"/>
            <c:showLeaderLines val="1"/>
          </c:dLbls>
          <c:cat>
            <c:strRef>
              <c:f>Sheet3!$B$34:$B$37</c:f>
              <c:strCache>
                <c:ptCount val="4"/>
                <c:pt idx="0">
                  <c:v>Legi integrale 31,17%</c:v>
                </c:pt>
                <c:pt idx="1">
                  <c:v>Legi de modificare  2,6%</c:v>
                </c:pt>
                <c:pt idx="2">
                  <c:v>Legi de completare 1,3%</c:v>
                </c:pt>
                <c:pt idx="3">
                  <c:v>Legi de modificare şi completare 64,94%</c:v>
                </c:pt>
              </c:strCache>
            </c:strRef>
          </c:cat>
          <c:val>
            <c:numRef>
              <c:f>Sheet3!$C$34:$C$37</c:f>
              <c:numCache>
                <c:formatCode>0.00%</c:formatCode>
                <c:ptCount val="4"/>
                <c:pt idx="0">
                  <c:v>0.31170000000000031</c:v>
                </c:pt>
                <c:pt idx="1">
                  <c:v>2.5999999999999999E-2</c:v>
                </c:pt>
                <c:pt idx="2">
                  <c:v>1.2999999999999998E-2</c:v>
                </c:pt>
                <c:pt idx="3">
                  <c:v>0.64940000000000064</c:v>
                </c:pt>
              </c:numCache>
            </c:numRef>
          </c:val>
        </c:ser>
      </c:pie3DChart>
    </c:plotArea>
    <c:legend>
      <c:legendPos val="b"/>
      <c:layout/>
      <c:overlay val="1"/>
      <c:txPr>
        <a:bodyPr/>
        <a:lstStyle/>
        <a:p>
          <a:pPr>
            <a:defRPr sz="800" b="0">
              <a:latin typeface="Arial" pitchFamily="34" charset="0"/>
              <a:cs typeface="Arial" pitchFamily="34" charset="0"/>
            </a:defRPr>
          </a:pPr>
          <a:endParaRPr lang="ru-RU"/>
        </a:p>
      </c:txPr>
    </c:legend>
    <c:plotVisOnly val="1"/>
  </c:chart>
  <c:spPr>
    <a:effectLst>
      <a:outerShdw blurRad="50800" dist="38100" dir="10800000" algn="r" rotWithShape="0">
        <a:schemeClr val="tx1">
          <a:alpha val="40000"/>
        </a:scheme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en-US" sz="1000"/>
              <a:t>Ponderea autorilor proiectelor de acte normative</a:t>
            </a:r>
          </a:p>
        </c:rich>
      </c:tx>
      <c:layout/>
    </c:title>
    <c:plotArea>
      <c:layout/>
      <c:barChart>
        <c:barDir val="col"/>
        <c:grouping val="clustered"/>
        <c:ser>
          <c:idx val="0"/>
          <c:order val="0"/>
          <c:dLbls>
            <c:txPr>
              <a:bodyPr/>
              <a:lstStyle/>
              <a:p>
                <a:pPr>
                  <a:defRPr b="1"/>
                </a:pPr>
                <a:endParaRPr lang="ru-RU"/>
              </a:p>
            </c:txPr>
            <c:showVal val="1"/>
          </c:dLbls>
          <c:cat>
            <c:strRef>
              <c:f>Sheet3!$B$75:$B$79</c:f>
              <c:strCache>
                <c:ptCount val="5"/>
                <c:pt idx="0">
                  <c:v>Guvernul RM 61,33 %</c:v>
                </c:pt>
                <c:pt idx="1">
                  <c:v>Deputat în Parlament 5,33%</c:v>
                </c:pt>
                <c:pt idx="2">
                  <c:v>Un grup de deputaţi în Parlament 25,33%</c:v>
                </c:pt>
                <c:pt idx="3">
                  <c:v>Preşedintele RM 0%</c:v>
                </c:pt>
                <c:pt idx="4">
                  <c:v>Adunarea Populară a UTA Gagauzia  6,67%</c:v>
                </c:pt>
              </c:strCache>
            </c:strRef>
          </c:cat>
          <c:val>
            <c:numRef>
              <c:f>Sheet3!$C$75:$C$79</c:f>
              <c:numCache>
                <c:formatCode>0.00%</c:formatCode>
                <c:ptCount val="5"/>
                <c:pt idx="0">
                  <c:v>0.61330000000000062</c:v>
                </c:pt>
                <c:pt idx="1">
                  <c:v>5.3300000000000014E-2</c:v>
                </c:pt>
                <c:pt idx="2">
                  <c:v>0.25330000000000008</c:v>
                </c:pt>
                <c:pt idx="3" formatCode="0%">
                  <c:v>0</c:v>
                </c:pt>
                <c:pt idx="4">
                  <c:v>6.6699999999999995E-2</c:v>
                </c:pt>
              </c:numCache>
            </c:numRef>
          </c:val>
        </c:ser>
        <c:dLbls>
          <c:showVal val="1"/>
        </c:dLbls>
        <c:overlap val="-25"/>
        <c:axId val="22666240"/>
        <c:axId val="22668032"/>
      </c:barChart>
      <c:catAx>
        <c:axId val="22666240"/>
        <c:scaling>
          <c:orientation val="minMax"/>
        </c:scaling>
        <c:axPos val="b"/>
        <c:majorTickMark val="none"/>
        <c:tickLblPos val="nextTo"/>
        <c:txPr>
          <a:bodyPr/>
          <a:lstStyle/>
          <a:p>
            <a:pPr>
              <a:defRPr sz="800">
                <a:latin typeface="+mn-lt"/>
              </a:defRPr>
            </a:pPr>
            <a:endParaRPr lang="ru-RU"/>
          </a:p>
        </c:txPr>
        <c:crossAx val="22668032"/>
        <c:crosses val="autoZero"/>
        <c:auto val="1"/>
        <c:lblAlgn val="ctr"/>
        <c:lblOffset val="100"/>
      </c:catAx>
      <c:valAx>
        <c:axId val="22668032"/>
        <c:scaling>
          <c:orientation val="minMax"/>
        </c:scaling>
        <c:delete val="1"/>
        <c:axPos val="l"/>
        <c:numFmt formatCode="0.00%" sourceLinked="1"/>
        <c:majorTickMark val="none"/>
        <c:tickLblPos val="none"/>
        <c:crossAx val="22666240"/>
        <c:crosses val="autoZero"/>
        <c:crossBetween val="between"/>
      </c:valAx>
    </c:plotArea>
    <c:plotVisOnly val="1"/>
  </c:chart>
  <c:spPr>
    <a:effectLst>
      <a:outerShdw blurRad="50800" dist="38100" dir="10800000" algn="r" rotWithShape="0">
        <a:schemeClr val="tx1">
          <a:alpha val="40000"/>
        </a:scheme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pie3DChart>
        <c:varyColors val="1"/>
        <c:ser>
          <c:idx val="0"/>
          <c:order val="0"/>
          <c:explosion val="25"/>
          <c:dLbls>
            <c:txPr>
              <a:bodyPr/>
              <a:lstStyle/>
              <a:p>
                <a:pPr>
                  <a:defRPr b="1"/>
                </a:pPr>
                <a:endParaRPr lang="ru-RU"/>
              </a:p>
            </c:txPr>
            <c:showVal val="1"/>
            <c:showLeaderLines val="1"/>
          </c:dLbls>
          <c:cat>
            <c:strRef>
              <c:f>Sheet1!$B$5:$B$7</c:f>
              <c:strCache>
                <c:ptCount val="3"/>
                <c:pt idx="0">
                  <c:v>conține o argumentare suficientă a promovării proiectului - 36</c:v>
                </c:pt>
                <c:pt idx="1">
                  <c:v>nu conține o argumentare suficientă a promovării proiectului – 37  </c:v>
                </c:pt>
                <c:pt idx="2">
                  <c:v>nu conține nici o argumentare pentru promovarea proiectului – 4 </c:v>
                </c:pt>
              </c:strCache>
            </c:strRef>
          </c:cat>
          <c:val>
            <c:numRef>
              <c:f>Sheet1!$C$5:$C$7</c:f>
              <c:numCache>
                <c:formatCode>0.00%</c:formatCode>
                <c:ptCount val="3"/>
                <c:pt idx="0">
                  <c:v>0.46750000000000008</c:v>
                </c:pt>
                <c:pt idx="1">
                  <c:v>0.48050000000000032</c:v>
                </c:pt>
                <c:pt idx="2">
                  <c:v>5.1900000000000002E-2</c:v>
                </c:pt>
              </c:numCache>
            </c:numRef>
          </c:val>
        </c:ser>
      </c:pie3DChart>
    </c:plotArea>
    <c:legend>
      <c:legendPos val="b"/>
      <c:legendEntry>
        <c:idx val="0"/>
        <c:txPr>
          <a:bodyPr/>
          <a:lstStyle/>
          <a:p>
            <a:pPr>
              <a:defRPr sz="800" b="0">
                <a:latin typeface="Arial Narrow" pitchFamily="34" charset="0"/>
              </a:defRPr>
            </a:pPr>
            <a:endParaRPr lang="ru-RU"/>
          </a:p>
        </c:txPr>
      </c:legendEntry>
      <c:legendEntry>
        <c:idx val="1"/>
        <c:txPr>
          <a:bodyPr/>
          <a:lstStyle/>
          <a:p>
            <a:pPr>
              <a:defRPr sz="800" b="0">
                <a:latin typeface="Arial Narrow" pitchFamily="34" charset="0"/>
              </a:defRPr>
            </a:pPr>
            <a:endParaRPr lang="ru-RU"/>
          </a:p>
        </c:txPr>
      </c:legendEntry>
      <c:legendEntry>
        <c:idx val="2"/>
        <c:txPr>
          <a:bodyPr/>
          <a:lstStyle/>
          <a:p>
            <a:pPr>
              <a:defRPr sz="800" b="0">
                <a:latin typeface="Arial Narrow" pitchFamily="34" charset="0"/>
              </a:defRPr>
            </a:pPr>
            <a:endParaRPr lang="ru-RU"/>
          </a:p>
        </c:txPr>
      </c:legendEntry>
      <c:layout>
        <c:manualLayout>
          <c:xMode val="edge"/>
          <c:yMode val="edge"/>
          <c:x val="0.2344902932029278"/>
          <c:y val="0.72061370707040062"/>
          <c:w val="0.51826008163470749"/>
          <c:h val="0.21902271241365587"/>
        </c:manualLayout>
      </c:layout>
      <c:txPr>
        <a:bodyPr/>
        <a:lstStyle/>
        <a:p>
          <a:pPr>
            <a:defRPr sz="800" b="0">
              <a:latin typeface="Arial Narrow" pitchFamily="34" charset="0"/>
            </a:defRPr>
          </a:pPr>
          <a:endParaRPr lang="ru-RU"/>
        </a:p>
      </c:txPr>
    </c:legend>
    <c:plotVisOnly val="1"/>
  </c:chart>
  <c:spPr>
    <a:effectLst>
      <a:outerShdw blurRad="50800" dist="38100" dir="10800000" algn="r" rotWithShape="0">
        <a:schemeClr val="tx1">
          <a:alpha val="40000"/>
        </a:scheme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manualLayout>
          <c:layoutTarget val="inner"/>
          <c:xMode val="edge"/>
          <c:yMode val="edge"/>
          <c:x val="0.41666126581852331"/>
          <c:y val="2.3502188849525287E-2"/>
          <c:w val="0.5385358791668946"/>
          <c:h val="0.72713181507959856"/>
        </c:manualLayout>
      </c:layout>
      <c:bar3DChart>
        <c:barDir val="bar"/>
        <c:grouping val="clustered"/>
        <c:ser>
          <c:idx val="0"/>
          <c:order val="0"/>
          <c:tx>
            <c:strRef>
              <c:f>Sheet1!$B$31</c:f>
              <c:strCache>
                <c:ptCount val="1"/>
                <c:pt idx="0">
                  <c:v>nu conține nici o argumentare pentru promovarea proiectului</c:v>
                </c:pt>
              </c:strCache>
            </c:strRef>
          </c:tx>
          <c:cat>
            <c:strRef>
              <c:f>Sheet1!$C$30:$G$30</c:f>
              <c:strCache>
                <c:ptCount val="5"/>
                <c:pt idx="0">
                  <c:v>Domeniul V: Legislaţia muncii, asigurarea socială şi ocrotirea sănătăţii</c:v>
                </c:pt>
                <c:pt idx="1">
                  <c:v>Domeniul IV: Educaţie, cultură, culte şi mass-media</c:v>
                </c:pt>
                <c:pt idx="2">
                  <c:v>Domeniul III: Buget şi finanţe</c:v>
                </c:pt>
                <c:pt idx="3">
                  <c:v>Domeniul II: Economie şi comerţ</c:v>
                </c:pt>
                <c:pt idx="4">
                  <c:v>Domeniul I: Justiţie şi afaceri interne, drepturile şi libertăţile omului</c:v>
                </c:pt>
              </c:strCache>
            </c:strRef>
          </c:cat>
          <c:val>
            <c:numRef>
              <c:f>Sheet1!$C$31:$G$31</c:f>
              <c:numCache>
                <c:formatCode>General</c:formatCode>
                <c:ptCount val="5"/>
                <c:pt idx="0">
                  <c:v>1</c:v>
                </c:pt>
                <c:pt idx="1">
                  <c:v>0</c:v>
                </c:pt>
                <c:pt idx="2">
                  <c:v>1</c:v>
                </c:pt>
                <c:pt idx="3">
                  <c:v>1</c:v>
                </c:pt>
                <c:pt idx="4">
                  <c:v>1</c:v>
                </c:pt>
              </c:numCache>
            </c:numRef>
          </c:val>
        </c:ser>
        <c:ser>
          <c:idx val="1"/>
          <c:order val="1"/>
          <c:tx>
            <c:strRef>
              <c:f>Sheet1!$B$32</c:f>
              <c:strCache>
                <c:ptCount val="1"/>
                <c:pt idx="0">
                  <c:v>nu conține o argumentare suficientă a promovării proiectului</c:v>
                </c:pt>
              </c:strCache>
            </c:strRef>
          </c:tx>
          <c:cat>
            <c:strRef>
              <c:f>Sheet1!$C$30:$G$30</c:f>
              <c:strCache>
                <c:ptCount val="5"/>
                <c:pt idx="0">
                  <c:v>Domeniul V: Legislaţia muncii, asigurarea socială şi ocrotirea sănătăţii</c:v>
                </c:pt>
                <c:pt idx="1">
                  <c:v>Domeniul IV: Educaţie, cultură, culte şi mass-media</c:v>
                </c:pt>
                <c:pt idx="2">
                  <c:v>Domeniul III: Buget şi finanţe</c:v>
                </c:pt>
                <c:pt idx="3">
                  <c:v>Domeniul II: Economie şi comerţ</c:v>
                </c:pt>
                <c:pt idx="4">
                  <c:v>Domeniul I: Justiţie şi afaceri interne, drepturile şi libertăţile omului</c:v>
                </c:pt>
              </c:strCache>
            </c:strRef>
          </c:cat>
          <c:val>
            <c:numRef>
              <c:f>Sheet1!$C$32:$G$32</c:f>
              <c:numCache>
                <c:formatCode>General</c:formatCode>
                <c:ptCount val="5"/>
                <c:pt idx="0">
                  <c:v>10</c:v>
                </c:pt>
                <c:pt idx="1">
                  <c:v>4</c:v>
                </c:pt>
                <c:pt idx="2">
                  <c:v>4</c:v>
                </c:pt>
                <c:pt idx="3">
                  <c:v>6</c:v>
                </c:pt>
                <c:pt idx="4">
                  <c:v>13</c:v>
                </c:pt>
              </c:numCache>
            </c:numRef>
          </c:val>
        </c:ser>
        <c:ser>
          <c:idx val="2"/>
          <c:order val="2"/>
          <c:tx>
            <c:strRef>
              <c:f>Sheet1!$B$33</c:f>
              <c:strCache>
                <c:ptCount val="1"/>
                <c:pt idx="0">
                  <c:v>conține o argumentare suficientă a promovării proiectului</c:v>
                </c:pt>
              </c:strCache>
            </c:strRef>
          </c:tx>
          <c:cat>
            <c:strRef>
              <c:f>Sheet1!$C$30:$G$30</c:f>
              <c:strCache>
                <c:ptCount val="5"/>
                <c:pt idx="0">
                  <c:v>Domeniul V: Legislaţia muncii, asigurarea socială şi ocrotirea sănătăţii</c:v>
                </c:pt>
                <c:pt idx="1">
                  <c:v>Domeniul IV: Educaţie, cultură, culte şi mass-media</c:v>
                </c:pt>
                <c:pt idx="2">
                  <c:v>Domeniul III: Buget şi finanţe</c:v>
                </c:pt>
                <c:pt idx="3">
                  <c:v>Domeniul II: Economie şi comerţ</c:v>
                </c:pt>
                <c:pt idx="4">
                  <c:v>Domeniul I: Justiţie şi afaceri interne, drepturile şi libertăţile omului</c:v>
                </c:pt>
              </c:strCache>
            </c:strRef>
          </c:cat>
          <c:val>
            <c:numRef>
              <c:f>Sheet1!$C$33:$G$33</c:f>
              <c:numCache>
                <c:formatCode>General</c:formatCode>
                <c:ptCount val="5"/>
                <c:pt idx="0">
                  <c:v>6</c:v>
                </c:pt>
                <c:pt idx="1">
                  <c:v>2</c:v>
                </c:pt>
                <c:pt idx="2">
                  <c:v>1</c:v>
                </c:pt>
                <c:pt idx="3">
                  <c:v>4</c:v>
                </c:pt>
                <c:pt idx="4">
                  <c:v>23</c:v>
                </c:pt>
              </c:numCache>
            </c:numRef>
          </c:val>
        </c:ser>
        <c:shape val="box"/>
        <c:axId val="59905152"/>
        <c:axId val="59906688"/>
        <c:axId val="0"/>
      </c:bar3DChart>
      <c:catAx>
        <c:axId val="59905152"/>
        <c:scaling>
          <c:orientation val="minMax"/>
        </c:scaling>
        <c:axPos val="l"/>
        <c:numFmt formatCode="General" sourceLinked="1"/>
        <c:tickLblPos val="nextTo"/>
        <c:txPr>
          <a:bodyPr/>
          <a:lstStyle/>
          <a:p>
            <a:pPr>
              <a:defRPr sz="800">
                <a:latin typeface="Arial Narrow" pitchFamily="34" charset="0"/>
              </a:defRPr>
            </a:pPr>
            <a:endParaRPr lang="ru-RU"/>
          </a:p>
        </c:txPr>
        <c:crossAx val="59906688"/>
        <c:crosses val="autoZero"/>
        <c:auto val="1"/>
        <c:lblAlgn val="l"/>
        <c:lblOffset val="100"/>
      </c:catAx>
      <c:valAx>
        <c:axId val="59906688"/>
        <c:scaling>
          <c:orientation val="minMax"/>
        </c:scaling>
        <c:axPos val="b"/>
        <c:majorGridlines/>
        <c:numFmt formatCode="General" sourceLinked="1"/>
        <c:tickLblPos val="nextTo"/>
        <c:crossAx val="59905152"/>
        <c:crosses val="autoZero"/>
        <c:crossBetween val="between"/>
      </c:valAx>
    </c:plotArea>
    <c:legend>
      <c:legendPos val="b"/>
      <c:layout>
        <c:manualLayout>
          <c:xMode val="edge"/>
          <c:yMode val="edge"/>
          <c:x val="0.11599338431172854"/>
          <c:y val="0.86632547163526374"/>
          <c:w val="0.78511621643232599"/>
          <c:h val="0.13367452836473578"/>
        </c:manualLayout>
      </c:layout>
      <c:txPr>
        <a:bodyPr/>
        <a:lstStyle/>
        <a:p>
          <a:pPr>
            <a:defRPr sz="800">
              <a:latin typeface="Arial Narrow" pitchFamily="34" charset="0"/>
            </a:defRPr>
          </a:pPr>
          <a:endParaRPr lang="ru-RU"/>
        </a:p>
      </c:txPr>
    </c:legend>
    <c:plotVisOnly val="1"/>
  </c:chart>
  <c:spPr>
    <a:effectLst>
      <a:outerShdw blurRad="50800" dist="38100" dir="10800000" algn="r" rotWithShape="0">
        <a:schemeClr val="tx1">
          <a:alpha val="40000"/>
        </a:scheme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manualLayout>
          <c:layoutTarget val="inner"/>
          <c:xMode val="edge"/>
          <c:yMode val="edge"/>
          <c:x val="0.37929334521258234"/>
          <c:y val="6.035665294924572E-2"/>
          <c:w val="0.58998804048576459"/>
          <c:h val="0.67906505513971371"/>
        </c:manualLayout>
      </c:layout>
      <c:bar3DChart>
        <c:barDir val="bar"/>
        <c:grouping val="clustered"/>
        <c:ser>
          <c:idx val="0"/>
          <c:order val="0"/>
          <c:tx>
            <c:strRef>
              <c:f>Sheet1!$C$95</c:f>
              <c:strCache>
                <c:ptCount val="1"/>
                <c:pt idx="0">
                  <c:v>nu conține nici o argumentare pentru promovarea proiectului</c:v>
                </c:pt>
              </c:strCache>
            </c:strRef>
          </c:tx>
          <c:cat>
            <c:strRef>
              <c:f>Sheet1!$B$96:$B$98</c:f>
              <c:strCache>
                <c:ptCount val="3"/>
                <c:pt idx="0">
                  <c:v>Deputaţii în Parlament</c:v>
                </c:pt>
                <c:pt idx="1">
                  <c:v>Guvernul</c:v>
                </c:pt>
                <c:pt idx="2">
                  <c:v>Adunarea Populară a unităţii teritoriale autonome Găgăuzia</c:v>
                </c:pt>
              </c:strCache>
            </c:strRef>
          </c:cat>
          <c:val>
            <c:numRef>
              <c:f>Sheet1!$C$96:$C$98</c:f>
              <c:numCache>
                <c:formatCode>General</c:formatCode>
                <c:ptCount val="3"/>
                <c:pt idx="0">
                  <c:v>1</c:v>
                </c:pt>
                <c:pt idx="1">
                  <c:v>2</c:v>
                </c:pt>
                <c:pt idx="2">
                  <c:v>1</c:v>
                </c:pt>
              </c:numCache>
            </c:numRef>
          </c:val>
        </c:ser>
        <c:ser>
          <c:idx val="1"/>
          <c:order val="1"/>
          <c:tx>
            <c:strRef>
              <c:f>Sheet1!$D$95</c:f>
              <c:strCache>
                <c:ptCount val="1"/>
                <c:pt idx="0">
                  <c:v>nu conține o argumentare suficientă a promovării proiectului</c:v>
                </c:pt>
              </c:strCache>
            </c:strRef>
          </c:tx>
          <c:cat>
            <c:strRef>
              <c:f>Sheet1!$B$96:$B$98</c:f>
              <c:strCache>
                <c:ptCount val="3"/>
                <c:pt idx="0">
                  <c:v>Deputaţii în Parlament</c:v>
                </c:pt>
                <c:pt idx="1">
                  <c:v>Guvernul</c:v>
                </c:pt>
                <c:pt idx="2">
                  <c:v>Adunarea Populară a unităţii teritoriale autonome Găgăuzia</c:v>
                </c:pt>
              </c:strCache>
            </c:strRef>
          </c:cat>
          <c:val>
            <c:numRef>
              <c:f>Sheet1!$D$96:$D$98</c:f>
              <c:numCache>
                <c:formatCode>General</c:formatCode>
                <c:ptCount val="3"/>
                <c:pt idx="0">
                  <c:v>16</c:v>
                </c:pt>
                <c:pt idx="1">
                  <c:v>17</c:v>
                </c:pt>
                <c:pt idx="2">
                  <c:v>4</c:v>
                </c:pt>
              </c:numCache>
            </c:numRef>
          </c:val>
        </c:ser>
        <c:ser>
          <c:idx val="2"/>
          <c:order val="2"/>
          <c:tx>
            <c:strRef>
              <c:f>Sheet1!$E$95</c:f>
              <c:strCache>
                <c:ptCount val="1"/>
                <c:pt idx="0">
                  <c:v>conține o argumentare suficientă a promovării proiectului</c:v>
                </c:pt>
              </c:strCache>
            </c:strRef>
          </c:tx>
          <c:cat>
            <c:strRef>
              <c:f>Sheet1!$B$96:$B$98</c:f>
              <c:strCache>
                <c:ptCount val="3"/>
                <c:pt idx="0">
                  <c:v>Deputaţii în Parlament</c:v>
                </c:pt>
                <c:pt idx="1">
                  <c:v>Guvernul</c:v>
                </c:pt>
                <c:pt idx="2">
                  <c:v>Adunarea Populară a unităţii teritoriale autonome Găgăuzia</c:v>
                </c:pt>
              </c:strCache>
            </c:strRef>
          </c:cat>
          <c:val>
            <c:numRef>
              <c:f>Sheet1!$E$96:$E$98</c:f>
              <c:numCache>
                <c:formatCode>General</c:formatCode>
                <c:ptCount val="3"/>
                <c:pt idx="0">
                  <c:v>6</c:v>
                </c:pt>
                <c:pt idx="1">
                  <c:v>27</c:v>
                </c:pt>
                <c:pt idx="2">
                  <c:v>0</c:v>
                </c:pt>
              </c:numCache>
            </c:numRef>
          </c:val>
        </c:ser>
        <c:shape val="box"/>
        <c:axId val="59949056"/>
        <c:axId val="59950592"/>
        <c:axId val="0"/>
      </c:bar3DChart>
      <c:catAx>
        <c:axId val="59949056"/>
        <c:scaling>
          <c:orientation val="minMax"/>
        </c:scaling>
        <c:axPos val="l"/>
        <c:tickLblPos val="nextTo"/>
        <c:txPr>
          <a:bodyPr/>
          <a:lstStyle/>
          <a:p>
            <a:pPr>
              <a:defRPr sz="800">
                <a:latin typeface="Arial Narrow" pitchFamily="34" charset="0"/>
              </a:defRPr>
            </a:pPr>
            <a:endParaRPr lang="ru-RU"/>
          </a:p>
        </c:txPr>
        <c:crossAx val="59950592"/>
        <c:crosses val="autoZero"/>
        <c:auto val="1"/>
        <c:lblAlgn val="ctr"/>
        <c:lblOffset val="100"/>
      </c:catAx>
      <c:valAx>
        <c:axId val="59950592"/>
        <c:scaling>
          <c:orientation val="minMax"/>
        </c:scaling>
        <c:axPos val="b"/>
        <c:majorGridlines/>
        <c:numFmt formatCode="General" sourceLinked="1"/>
        <c:tickLblPos val="nextTo"/>
        <c:crossAx val="59949056"/>
        <c:crosses val="autoZero"/>
        <c:crossBetween val="between"/>
      </c:valAx>
    </c:plotArea>
    <c:legend>
      <c:legendPos val="b"/>
      <c:layout/>
      <c:txPr>
        <a:bodyPr/>
        <a:lstStyle/>
        <a:p>
          <a:pPr>
            <a:defRPr sz="800">
              <a:latin typeface="Arial Narrow" pitchFamily="34" charset="0"/>
            </a:defRPr>
          </a:pPr>
          <a:endParaRPr lang="ru-RU"/>
        </a:p>
      </c:txPr>
    </c:legend>
    <c:plotVisOnly val="1"/>
  </c:chart>
  <c:spPr>
    <a:effectLst>
      <a:outerShdw blurRad="50800" dist="38100" dir="10800000" algn="r" rotWithShape="0">
        <a:schemeClr val="tx1">
          <a:alpha val="40000"/>
        </a:scheme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2.3885350318471391E-2"/>
          <c:y val="0"/>
          <c:w val="0.37345787986692802"/>
          <c:h val="1"/>
        </c:manualLayout>
      </c:layout>
      <c:doughnutChart>
        <c:varyColors val="1"/>
        <c:ser>
          <c:idx val="0"/>
          <c:order val="0"/>
          <c:explosion val="25"/>
          <c:dLbls>
            <c:txPr>
              <a:bodyPr/>
              <a:lstStyle/>
              <a:p>
                <a:pPr>
                  <a:defRPr b="1"/>
                </a:pPr>
                <a:endParaRPr lang="ru-RU"/>
              </a:p>
            </c:txPr>
            <c:showVal val="1"/>
            <c:showLeaderLines val="1"/>
          </c:dLbls>
          <c:cat>
            <c:strRef>
              <c:f>Sheet1!$C$5:$C$8</c:f>
              <c:strCache>
                <c:ptCount val="4"/>
                <c:pt idx="0">
                  <c:v>Respectarea principiului transparenței este asigurată suficient - 71,43%</c:v>
                </c:pt>
                <c:pt idx="1">
                  <c:v>Respectarea principiului transparenței este asigurată insuficient - 16,88%</c:v>
                </c:pt>
                <c:pt idx="2">
                  <c:v>Nu este asigurată respectarea principiului transparenței - 3,9%</c:v>
                </c:pt>
                <c:pt idx="3">
                  <c:v>Nu este aplicabil - 7,79%</c:v>
                </c:pt>
              </c:strCache>
            </c:strRef>
          </c:cat>
          <c:val>
            <c:numRef>
              <c:f>Sheet1!$D$5:$D$8</c:f>
              <c:numCache>
                <c:formatCode>0.00%</c:formatCode>
                <c:ptCount val="4"/>
                <c:pt idx="0">
                  <c:v>0.71430000000000005</c:v>
                </c:pt>
                <c:pt idx="1">
                  <c:v>0.16880000000000001</c:v>
                </c:pt>
                <c:pt idx="2">
                  <c:v>3.9000000000000014E-2</c:v>
                </c:pt>
                <c:pt idx="3">
                  <c:v>7.7900000000000039E-2</c:v>
                </c:pt>
              </c:numCache>
            </c:numRef>
          </c:val>
        </c:ser>
        <c:firstSliceAng val="0"/>
        <c:holeSize val="50"/>
      </c:doughnutChart>
    </c:plotArea>
    <c:legend>
      <c:legendPos val="r"/>
      <c:legendEntry>
        <c:idx val="3"/>
        <c:txPr>
          <a:bodyPr/>
          <a:lstStyle/>
          <a:p>
            <a:pPr>
              <a:defRPr sz="900">
                <a:latin typeface="+mn-lt"/>
              </a:defRPr>
            </a:pPr>
            <a:endParaRPr lang="ru-RU"/>
          </a:p>
        </c:txPr>
      </c:legendEntry>
      <c:layout>
        <c:manualLayout>
          <c:xMode val="edge"/>
          <c:yMode val="edge"/>
          <c:x val="0.39801695170269419"/>
          <c:y val="0.16482977948924268"/>
          <c:w val="0.58924419479412149"/>
          <c:h val="0.48055941912370442"/>
        </c:manualLayout>
      </c:layout>
      <c:txPr>
        <a:bodyPr/>
        <a:lstStyle/>
        <a:p>
          <a:pPr>
            <a:defRPr sz="800">
              <a:latin typeface="+mn-lt"/>
            </a:defRPr>
          </a:pPr>
          <a:endParaRPr lang="ru-RU"/>
        </a:p>
      </c:txPr>
    </c:legend>
    <c:plotVisOnly val="1"/>
  </c:chart>
  <c:spPr>
    <a:effectLst>
      <a:outerShdw blurRad="50800" dist="38100" dir="10800000" algn="r" rotWithShape="0">
        <a:schemeClr val="tx1">
          <a:alpha val="40000"/>
        </a:scheme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5.3094518964023993E-2"/>
          <c:y val="9.1212598425196856E-2"/>
          <c:w val="0.39642956690715286"/>
          <c:h val="0.90878740157480364"/>
        </c:manualLayout>
      </c:layout>
      <c:doughnutChart>
        <c:varyColors val="1"/>
        <c:ser>
          <c:idx val="0"/>
          <c:order val="0"/>
          <c:explosion val="25"/>
          <c:dLbls>
            <c:txPr>
              <a:bodyPr/>
              <a:lstStyle/>
              <a:p>
                <a:pPr>
                  <a:defRPr b="1"/>
                </a:pPr>
                <a:endParaRPr lang="ru-RU"/>
              </a:p>
            </c:txPr>
            <c:showVal val="1"/>
          </c:dLbls>
          <c:cat>
            <c:strRef>
              <c:f>Sheet1!$B$124:$B$127</c:f>
              <c:strCache>
                <c:ptCount val="4"/>
                <c:pt idx="0">
                  <c:v>Respectarea principiului participării este asigurată suficient - 37,66%</c:v>
                </c:pt>
                <c:pt idx="1">
                  <c:v>Respectarea principiului participării este asigurată insuficient - 44,16%</c:v>
                </c:pt>
                <c:pt idx="2">
                  <c:v>Nu este asigurată respectarea principiului participării  - 6,49%</c:v>
                </c:pt>
                <c:pt idx="3">
                  <c:v>Nu este aplicabil - 11,69%</c:v>
                </c:pt>
              </c:strCache>
            </c:strRef>
          </c:cat>
          <c:val>
            <c:numRef>
              <c:f>Sheet1!$C$124:$C$127</c:f>
              <c:numCache>
                <c:formatCode>0.00%</c:formatCode>
                <c:ptCount val="4"/>
                <c:pt idx="0">
                  <c:v>0.37660000000000032</c:v>
                </c:pt>
                <c:pt idx="1">
                  <c:v>0.44160000000000005</c:v>
                </c:pt>
                <c:pt idx="2">
                  <c:v>6.4900000000000013E-2</c:v>
                </c:pt>
                <c:pt idx="3">
                  <c:v>0.1169</c:v>
                </c:pt>
              </c:numCache>
            </c:numRef>
          </c:val>
        </c:ser>
        <c:firstSliceAng val="0"/>
        <c:holeSize val="50"/>
      </c:doughnutChart>
      <c:spPr>
        <a:noFill/>
        <a:ln w="25400">
          <a:noFill/>
        </a:ln>
      </c:spPr>
    </c:plotArea>
    <c:legend>
      <c:legendPos val="r"/>
      <c:layout>
        <c:manualLayout>
          <c:xMode val="edge"/>
          <c:yMode val="edge"/>
          <c:x val="0.48720118527897582"/>
          <c:y val="0.17513374657954989"/>
          <c:w val="0.50953243909837909"/>
          <c:h val="0.76171016920757262"/>
        </c:manualLayout>
      </c:layout>
      <c:txPr>
        <a:bodyPr/>
        <a:lstStyle/>
        <a:p>
          <a:pPr>
            <a:defRPr sz="800">
              <a:latin typeface="Arial Narrow" pitchFamily="34" charset="0"/>
            </a:defRPr>
          </a:pPr>
          <a:endParaRPr lang="ru-RU"/>
        </a:p>
      </c:txPr>
    </c:legend>
    <c:plotVisOnly val="1"/>
    <c:dispBlanksAs val="zero"/>
  </c:chart>
  <c:spPr>
    <a:effectLst>
      <a:outerShdw blurRad="50800" dist="38100" dir="10800000" algn="r" rotWithShape="0">
        <a:schemeClr val="tx1">
          <a:alpha val="40000"/>
        </a:schemeClr>
      </a:out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4.9275384694560241E-2"/>
          <c:y val="7.5770913251228394E-2"/>
          <c:w val="0.36383322182766437"/>
          <c:h val="0.81562612365761977"/>
        </c:manualLayout>
      </c:layout>
      <c:doughnutChart>
        <c:varyColors val="1"/>
        <c:ser>
          <c:idx val="0"/>
          <c:order val="0"/>
          <c:explosion val="25"/>
          <c:dLbls>
            <c:txPr>
              <a:bodyPr/>
              <a:lstStyle/>
              <a:p>
                <a:pPr>
                  <a:defRPr b="1"/>
                </a:pPr>
                <a:endParaRPr lang="ru-RU"/>
              </a:p>
            </c:txPr>
            <c:showVal val="1"/>
            <c:showLeaderLines val="1"/>
          </c:dLbls>
          <c:cat>
            <c:strRef>
              <c:f>Sheet1!$B$124:$B$127</c:f>
              <c:strCache>
                <c:ptCount val="4"/>
                <c:pt idx="0">
                  <c:v>Respectarea principiului responsabilizării este asigurată suficient - 16,88%</c:v>
                </c:pt>
                <c:pt idx="1">
                  <c:v>Respectarea principiului responsabilizării  este asigurată insuficient - 40,26%</c:v>
                </c:pt>
                <c:pt idx="2">
                  <c:v>Nu este asigurată respectarea principiului responsabilizării  - 33,77%</c:v>
                </c:pt>
                <c:pt idx="3">
                  <c:v>Nu este aplicabil - 9,09%</c:v>
                </c:pt>
              </c:strCache>
            </c:strRef>
          </c:cat>
          <c:val>
            <c:numRef>
              <c:f>Sheet1!$C$124:$C$127</c:f>
              <c:numCache>
                <c:formatCode>0.00%</c:formatCode>
                <c:ptCount val="4"/>
                <c:pt idx="0">
                  <c:v>0.16880000000000001</c:v>
                </c:pt>
                <c:pt idx="1">
                  <c:v>0.40260000000000001</c:v>
                </c:pt>
                <c:pt idx="2">
                  <c:v>0.33770000000000078</c:v>
                </c:pt>
                <c:pt idx="3">
                  <c:v>9.0900000000000022E-2</c:v>
                </c:pt>
              </c:numCache>
            </c:numRef>
          </c:val>
        </c:ser>
        <c:firstSliceAng val="0"/>
        <c:holeSize val="50"/>
      </c:doughnutChart>
    </c:plotArea>
    <c:legend>
      <c:legendPos val="r"/>
      <c:layout>
        <c:manualLayout>
          <c:xMode val="edge"/>
          <c:yMode val="edge"/>
          <c:x val="0.45514367076664436"/>
          <c:y val="0.26616596002422782"/>
          <c:w val="0.53178443380852014"/>
          <c:h val="0.46766769538423142"/>
        </c:manualLayout>
      </c:layout>
      <c:txPr>
        <a:bodyPr/>
        <a:lstStyle/>
        <a:p>
          <a:pPr>
            <a:defRPr sz="800">
              <a:latin typeface="Arial Narrow" pitchFamily="34" charset="0"/>
            </a:defRPr>
          </a:pPr>
          <a:endParaRPr lang="ru-RU"/>
        </a:p>
      </c:txPr>
    </c:legend>
    <c:plotVisOnly val="1"/>
  </c:chart>
  <c:spPr>
    <a:effectLst>
      <a:outerShdw blurRad="50800" dist="38100" dir="10800000" algn="r" rotWithShape="0">
        <a:schemeClr val="tx1">
          <a:alpha val="40000"/>
        </a:schemeClr>
      </a:outerShdw>
    </a:effectLst>
  </c:sp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80FA7"/>
    <w:rsid w:val="00780FA7"/>
    <w:rsid w:val="00CA1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79A97BB904466FB442928DC3D3CE87">
    <w:name w:val="CD79A97BB904466FB442928DC3D3CE87"/>
    <w:rsid w:val="00780FA7"/>
  </w:style>
  <w:style w:type="paragraph" w:customStyle="1" w:styleId="F11F992B99B44EB3A809D4F115BF46A9">
    <w:name w:val="F11F992B99B44EB3A809D4F115BF46A9"/>
    <w:rsid w:val="00CA141C"/>
  </w:style>
  <w:style w:type="paragraph" w:customStyle="1" w:styleId="3A855F12779A47A98E1CE2BD86EA4E29">
    <w:name w:val="3A855F12779A47A98E1CE2BD86EA4E29"/>
    <w:rsid w:val="00CA141C"/>
  </w:style>
  <w:style w:type="paragraph" w:customStyle="1" w:styleId="263B004029A24D938743DDC89AD547DF">
    <w:name w:val="263B004029A24D938743DDC89AD547DF"/>
    <w:rsid w:val="00CA141C"/>
  </w:style>
  <w:style w:type="paragraph" w:customStyle="1" w:styleId="33F95A2FFA8E45C1B633D93711CC36C3">
    <w:name w:val="33F95A2FFA8E45C1B633D93711CC36C3"/>
    <w:rsid w:val="00CA141C"/>
  </w:style>
  <w:style w:type="paragraph" w:customStyle="1" w:styleId="ED1253EE47D14C0F92F4001DE50EFFDE">
    <w:name w:val="ED1253EE47D14C0F92F4001DE50EFFDE"/>
    <w:rsid w:val="00CA141C"/>
  </w:style>
  <w:style w:type="paragraph" w:customStyle="1" w:styleId="687CB1FF45934E01895317C26D7AD7FC">
    <w:name w:val="687CB1FF45934E01895317C26D7AD7FC"/>
    <w:rsid w:val="00CA141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D73A5-7603-469E-85A8-F53A662E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3258</TotalTime>
  <Pages>43</Pages>
  <Words>18855</Words>
  <Characters>107475</Characters>
  <Application>Microsoft Office Word</Application>
  <DocSecurity>0</DocSecurity>
  <Lines>895</Lines>
  <Paragraphs>252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STUDIU                                    PRIVIND EFICENŢA EXPERTIZEI PROIECTELOR DE ACTE NORMATIVE DIN PERSPECTIVA DREPTURILOR OMULUI</vt:lpstr>
      <vt:lpstr>STUDIU                                    PRIVIND EFICENŢA EXPERTIZEI PROIECTELOR DE ACTE NORMATIVE DIN PERSPECTIVA DREPTURILOR OMULUI</vt:lpstr>
    </vt:vector>
  </TitlesOfParts>
  <Company>CENTRUL DE ANALIZĂ ŞI PREVENIRE A CORUPŢIEI</Company>
  <LinksUpToDate>false</LinksUpToDate>
  <CharactersWithSpaces>126078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STUDIU                                    PRIVIND EFICENŢA EXPERTIZEI PROIECTELOR DE ACTE NORMATIVE DIN PERSPECTIVA DREPTURILOR OMULUI</dc:title>
  <dc:subject/>
  <dc:creator>CHIŞINĂU</dc:creator>
  <cp:keywords/>
  <dc:description/>
  <cp:lastModifiedBy>CHANGE_ME1</cp:lastModifiedBy>
  <cp:revision>266</cp:revision>
  <cp:lastPrinted>2015-01-16T11:56:00Z</cp:lastPrinted>
  <dcterms:created xsi:type="dcterms:W3CDTF">2015-01-12T07:27:00Z</dcterms:created>
  <dcterms:modified xsi:type="dcterms:W3CDTF">2015-01-23T15:54:00Z</dcterms:modified>
</cp:coreProperties>
</file>